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b/>
          <w:bCs/>
          <w:color w:val="B45309"/>
          <w:spacing w:val="60"/>
          <w:sz w:val="40"/>
          <w:szCs w:val="40"/>
        </w:rPr>
        <w:t xml:space="preserve">SHOPPA</w:t>
      </w:r>
    </w:p>
    <w:p>
      <w:pPr>
        <w:pBdr>
          <w:bottom w:val="single" w:color="F59E0B" w:sz="24" w:space="8"/>
        </w:pBdr>
        <w:spacing w:after="240"/>
      </w:pPr>
      <w:r>
        <w:rPr>
          <w:color w:val="94A3B8"/>
          <w:sz w:val="22"/>
          <w:szCs w:val="22"/>
        </w:rPr>
        <w:t xml:space="preserve">Shopping Intelligence Platform</w:t>
      </w:r>
    </w:p>
    <w:p>
      <w:pPr>
        <w:spacing w:after="120" w:before="360"/>
      </w:pPr>
      <w:r>
        <w:rPr>
          <w:b/>
          <w:bCs/>
          <w:color w:val="0B1220"/>
          <w:sz w:val="60"/>
          <w:szCs w:val="60"/>
        </w:rPr>
        <w:t xml:space="preserve">Business Requirements Document</w:t>
      </w:r>
    </w:p>
    <w:p>
      <w:pPr>
        <w:spacing w:after="600"/>
      </w:pPr>
      <w:r>
        <w:rPr>
          <w:color w:val="475569"/>
          <w:sz w:val="26"/>
          <w:szCs w:val="26"/>
        </w:rPr>
        <w:t xml:space="preserve">Vision, objectives, scope, and stakeholder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2E8F0" w:sz="4"/>
              <w:left w:val="single" w:color="E2E8F0" w:sz="4"/>
              <w:bottom w:val="single" w:color="E2E8F0" w:sz="4"/>
              <w:right w:val="single" w:color="E2E8F0" w:sz="4"/>
            </w:tcBorders>
            <w:shd w:fill="F1F5F9" w:val="clear"/>
            <w:tcMar>
              <w:top w:type="dxa" w:w="70"/>
              <w:left w:type="dxa" w:w="130"/>
              <w:bottom w:type="dxa" w:w="70"/>
              <w:right w:type="dxa" w:w="130"/>
            </w:tcMar>
            <w:vAlign w:val="center"/>
          </w:tcPr>
          <w:p>
            <w:pPr>
              <w:jc w:val="left"/>
            </w:pPr>
            <w:r>
              <w:rPr>
                <w:b/>
                <w:bCs/>
                <w:color w:val="475569"/>
                <w:sz w:val="19"/>
                <w:szCs w:val="19"/>
              </w:rPr>
              <w:t xml:space="preserve">Document</w:t>
            </w:r>
          </w:p>
        </w:tc>
        <w:tc>
          <w:tcPr>
            <w:tcW w:type="dxa" w:w="6760"/>
            <w:tcBorders>
              <w:top w:val="single" w:color="E2E8F0" w:sz="4"/>
              <w:left w:val="single" w:color="E2E8F0" w:sz="4"/>
              <w:bottom w:val="single" w:color="E2E8F0" w:sz="4"/>
              <w:right w:val="single" w:color="E2E8F0" w:sz="4"/>
            </w:tcBorders>
            <w:tcMar>
              <w:top w:type="dxa" w:w="70"/>
              <w:left w:type="dxa" w:w="130"/>
              <w:bottom w:type="dxa" w:w="70"/>
              <w:right w:type="dxa" w:w="130"/>
            </w:tcMar>
            <w:vAlign w:val="center"/>
          </w:tcPr>
          <w:p>
            <w:pPr>
              <w:jc w:val="left"/>
            </w:pPr>
            <w:r>
              <w:rPr>
                <w:b w:val="false"/>
                <w:bCs w:val="false"/>
                <w:color w:val="1E293B"/>
                <w:sz w:val="19"/>
                <w:szCs w:val="19"/>
              </w:rPr>
              <w:t xml:space="preserve">Business Requirements Document (BRD)</w:t>
            </w:r>
          </w:p>
        </w:tc>
      </w:tr>
      <w:tr>
        <w:tc>
          <w:tcPr>
            <w:tcW w:type="dxa" w:w="2600"/>
            <w:tcBorders>
              <w:top w:val="single" w:color="E2E8F0" w:sz="4"/>
              <w:left w:val="single" w:color="E2E8F0" w:sz="4"/>
              <w:bottom w:val="single" w:color="E2E8F0" w:sz="4"/>
              <w:right w:val="single" w:color="E2E8F0" w:sz="4"/>
            </w:tcBorders>
            <w:shd w:fill="F1F5F9" w:val="clear"/>
            <w:tcMar>
              <w:top w:type="dxa" w:w="70"/>
              <w:left w:type="dxa" w:w="130"/>
              <w:bottom w:type="dxa" w:w="70"/>
              <w:right w:type="dxa" w:w="130"/>
            </w:tcMar>
            <w:vAlign w:val="center"/>
          </w:tcPr>
          <w:p>
            <w:pPr>
              <w:jc w:val="left"/>
            </w:pPr>
            <w:r>
              <w:rPr>
                <w:b/>
                <w:bCs/>
                <w:color w:val="475569"/>
                <w:sz w:val="19"/>
                <w:szCs w:val="19"/>
              </w:rPr>
              <w:t xml:space="preserve">Project</w:t>
            </w:r>
          </w:p>
        </w:tc>
        <w:tc>
          <w:tcPr>
            <w:tcW w:type="dxa" w:w="6760"/>
            <w:tcBorders>
              <w:top w:val="single" w:color="E2E8F0" w:sz="4"/>
              <w:left w:val="single" w:color="E2E8F0" w:sz="4"/>
              <w:bottom w:val="single" w:color="E2E8F0" w:sz="4"/>
              <w:right w:val="single" w:color="E2E8F0" w:sz="4"/>
            </w:tcBorders>
            <w:tcMar>
              <w:top w:type="dxa" w:w="70"/>
              <w:left w:type="dxa" w:w="130"/>
              <w:bottom w:type="dxa" w:w="70"/>
              <w:right w:type="dxa" w:w="130"/>
            </w:tcMar>
            <w:vAlign w:val="center"/>
          </w:tcPr>
          <w:p>
            <w:pPr>
              <w:jc w:val="left"/>
            </w:pPr>
            <w:r>
              <w:rPr>
                <w:b w:val="false"/>
                <w:bCs w:val="false"/>
                <w:color w:val="1E293B"/>
                <w:sz w:val="19"/>
                <w:szCs w:val="19"/>
              </w:rPr>
              <w:t xml:space="preserve">Shoppa — Shopping Intelligence Platform</w:t>
            </w:r>
          </w:p>
        </w:tc>
      </w:tr>
      <w:tr>
        <w:tc>
          <w:tcPr>
            <w:tcW w:type="dxa" w:w="2600"/>
            <w:tcBorders>
              <w:top w:val="single" w:color="E2E8F0" w:sz="4"/>
              <w:left w:val="single" w:color="E2E8F0" w:sz="4"/>
              <w:bottom w:val="single" w:color="E2E8F0" w:sz="4"/>
              <w:right w:val="single" w:color="E2E8F0" w:sz="4"/>
            </w:tcBorders>
            <w:shd w:fill="F1F5F9" w:val="clear"/>
            <w:tcMar>
              <w:top w:type="dxa" w:w="70"/>
              <w:left w:type="dxa" w:w="130"/>
              <w:bottom w:type="dxa" w:w="70"/>
              <w:right w:type="dxa" w:w="130"/>
            </w:tcMar>
            <w:vAlign w:val="center"/>
          </w:tcPr>
          <w:p>
            <w:pPr>
              <w:jc w:val="left"/>
            </w:pPr>
            <w:r>
              <w:rPr>
                <w:b/>
                <w:bCs/>
                <w:color w:val="475569"/>
                <w:sz w:val="19"/>
                <w:szCs w:val="19"/>
              </w:rPr>
              <w:t xml:space="preserve">Version</w:t>
            </w:r>
          </w:p>
        </w:tc>
        <w:tc>
          <w:tcPr>
            <w:tcW w:type="dxa" w:w="6760"/>
            <w:tcBorders>
              <w:top w:val="single" w:color="E2E8F0" w:sz="4"/>
              <w:left w:val="single" w:color="E2E8F0" w:sz="4"/>
              <w:bottom w:val="single" w:color="E2E8F0" w:sz="4"/>
              <w:right w:val="single" w:color="E2E8F0" w:sz="4"/>
            </w:tcBorders>
            <w:tcMar>
              <w:top w:type="dxa" w:w="70"/>
              <w:left w:type="dxa" w:w="130"/>
              <w:bottom w:type="dxa" w:w="70"/>
              <w:right w:type="dxa" w:w="130"/>
            </w:tcMar>
            <w:vAlign w:val="center"/>
          </w:tcPr>
          <w:p>
            <w:pPr>
              <w:jc w:val="left"/>
            </w:pPr>
            <w:r>
              <w:rPr>
                <w:b w:val="false"/>
                <w:bCs w:val="false"/>
                <w:color w:val="1E293B"/>
                <w:sz w:val="19"/>
                <w:szCs w:val="19"/>
              </w:rPr>
              <w:t xml:space="preserve">1.0</w:t>
            </w:r>
          </w:p>
        </w:tc>
      </w:tr>
      <w:tr>
        <w:tc>
          <w:tcPr>
            <w:tcW w:type="dxa" w:w="2600"/>
            <w:tcBorders>
              <w:top w:val="single" w:color="E2E8F0" w:sz="4"/>
              <w:left w:val="single" w:color="E2E8F0" w:sz="4"/>
              <w:bottom w:val="single" w:color="E2E8F0" w:sz="4"/>
              <w:right w:val="single" w:color="E2E8F0" w:sz="4"/>
            </w:tcBorders>
            <w:shd w:fill="F1F5F9" w:val="clear"/>
            <w:tcMar>
              <w:top w:type="dxa" w:w="70"/>
              <w:left w:type="dxa" w:w="130"/>
              <w:bottom w:type="dxa" w:w="70"/>
              <w:right w:type="dxa" w:w="130"/>
            </w:tcMar>
            <w:vAlign w:val="center"/>
          </w:tcPr>
          <w:p>
            <w:pPr>
              <w:jc w:val="left"/>
            </w:pPr>
            <w:r>
              <w:rPr>
                <w:b/>
                <w:bCs/>
                <w:color w:val="475569"/>
                <w:sz w:val="19"/>
                <w:szCs w:val="19"/>
              </w:rPr>
              <w:t xml:space="preserve">Status</w:t>
            </w:r>
          </w:p>
        </w:tc>
        <w:tc>
          <w:tcPr>
            <w:tcW w:type="dxa" w:w="6760"/>
            <w:tcBorders>
              <w:top w:val="single" w:color="E2E8F0" w:sz="4"/>
              <w:left w:val="single" w:color="E2E8F0" w:sz="4"/>
              <w:bottom w:val="single" w:color="E2E8F0" w:sz="4"/>
              <w:right w:val="single" w:color="E2E8F0" w:sz="4"/>
            </w:tcBorders>
            <w:tcMar>
              <w:top w:type="dxa" w:w="70"/>
              <w:left w:type="dxa" w:w="130"/>
              <w:bottom w:type="dxa" w:w="70"/>
              <w:right w:type="dxa" w:w="130"/>
            </w:tcMar>
            <w:vAlign w:val="center"/>
          </w:tcPr>
          <w:p>
            <w:pPr>
              <w:jc w:val="left"/>
            </w:pPr>
            <w:r>
              <w:rPr>
                <w:b w:val="false"/>
                <w:bCs w:val="false"/>
                <w:color w:val="1E293B"/>
                <w:sz w:val="19"/>
                <w:szCs w:val="19"/>
              </w:rPr>
              <w:t xml:space="preserve">Draft for review</w:t>
            </w:r>
          </w:p>
        </w:tc>
      </w:tr>
      <w:tr>
        <w:tc>
          <w:tcPr>
            <w:tcW w:type="dxa" w:w="2600"/>
            <w:tcBorders>
              <w:top w:val="single" w:color="E2E8F0" w:sz="4"/>
              <w:left w:val="single" w:color="E2E8F0" w:sz="4"/>
              <w:bottom w:val="single" w:color="E2E8F0" w:sz="4"/>
              <w:right w:val="single" w:color="E2E8F0" w:sz="4"/>
            </w:tcBorders>
            <w:shd w:fill="F1F5F9" w:val="clear"/>
            <w:tcMar>
              <w:top w:type="dxa" w:w="70"/>
              <w:left w:type="dxa" w:w="130"/>
              <w:bottom w:type="dxa" w:w="70"/>
              <w:right w:type="dxa" w:w="130"/>
            </w:tcMar>
            <w:vAlign w:val="center"/>
          </w:tcPr>
          <w:p>
            <w:pPr>
              <w:jc w:val="left"/>
            </w:pPr>
            <w:r>
              <w:rPr>
                <w:b/>
                <w:bCs/>
                <w:color w:val="475569"/>
                <w:sz w:val="19"/>
                <w:szCs w:val="19"/>
              </w:rPr>
              <w:t xml:space="preserve">Prepared by</w:t>
            </w:r>
          </w:p>
        </w:tc>
        <w:tc>
          <w:tcPr>
            <w:tcW w:type="dxa" w:w="6760"/>
            <w:tcBorders>
              <w:top w:val="single" w:color="E2E8F0" w:sz="4"/>
              <w:left w:val="single" w:color="E2E8F0" w:sz="4"/>
              <w:bottom w:val="single" w:color="E2E8F0" w:sz="4"/>
              <w:right w:val="single" w:color="E2E8F0" w:sz="4"/>
            </w:tcBorders>
            <w:tcMar>
              <w:top w:type="dxa" w:w="70"/>
              <w:left w:type="dxa" w:w="130"/>
              <w:bottom w:type="dxa" w:w="70"/>
              <w:right w:type="dxa" w:w="130"/>
            </w:tcMar>
            <w:vAlign w:val="center"/>
          </w:tcPr>
          <w:p>
            <w:pPr>
              <w:jc w:val="left"/>
            </w:pPr>
            <w:r>
              <w:rPr>
                <w:b w:val="false"/>
                <w:bCs w:val="false"/>
                <w:color w:val="1E293B"/>
                <w:sz w:val="19"/>
                <w:szCs w:val="19"/>
              </w:rPr>
              <w:t xml:space="preserve">Business Analysis Team</w:t>
            </w:r>
          </w:p>
        </w:tc>
      </w:tr>
      <w:tr>
        <w:tc>
          <w:tcPr>
            <w:tcW w:type="dxa" w:w="2600"/>
            <w:tcBorders>
              <w:top w:val="single" w:color="E2E8F0" w:sz="4"/>
              <w:left w:val="single" w:color="E2E8F0" w:sz="4"/>
              <w:bottom w:val="single" w:color="E2E8F0" w:sz="4"/>
              <w:right w:val="single" w:color="E2E8F0" w:sz="4"/>
            </w:tcBorders>
            <w:shd w:fill="F1F5F9" w:val="clear"/>
            <w:tcMar>
              <w:top w:type="dxa" w:w="70"/>
              <w:left w:type="dxa" w:w="130"/>
              <w:bottom w:type="dxa" w:w="70"/>
              <w:right w:type="dxa" w:w="130"/>
            </w:tcMar>
            <w:vAlign w:val="center"/>
          </w:tcPr>
          <w:p>
            <w:pPr>
              <w:jc w:val="left"/>
            </w:pPr>
            <w:r>
              <w:rPr>
                <w:b/>
                <w:bCs/>
                <w:color w:val="475569"/>
                <w:sz w:val="19"/>
                <w:szCs w:val="19"/>
              </w:rPr>
              <w:t xml:space="preserve">Date</w:t>
            </w:r>
          </w:p>
        </w:tc>
        <w:tc>
          <w:tcPr>
            <w:tcW w:type="dxa" w:w="6760"/>
            <w:tcBorders>
              <w:top w:val="single" w:color="E2E8F0" w:sz="4"/>
              <w:left w:val="single" w:color="E2E8F0" w:sz="4"/>
              <w:bottom w:val="single" w:color="E2E8F0" w:sz="4"/>
              <w:right w:val="single" w:color="E2E8F0" w:sz="4"/>
            </w:tcBorders>
            <w:tcMar>
              <w:top w:type="dxa" w:w="70"/>
              <w:left w:type="dxa" w:w="130"/>
              <w:bottom w:type="dxa" w:w="70"/>
              <w:right w:type="dxa" w:w="130"/>
            </w:tcMar>
            <w:vAlign w:val="center"/>
          </w:tcPr>
          <w:p>
            <w:pPr>
              <w:jc w:val="left"/>
            </w:pPr>
            <w:r>
              <w:rPr>
                <w:b w:val="false"/>
                <w:bCs w:val="false"/>
                <w:color w:val="1E293B"/>
                <w:sz w:val="19"/>
                <w:szCs w:val="19"/>
              </w:rPr>
              <w:t xml:space="preserve">June 2026</w:t>
            </w:r>
          </w:p>
        </w:tc>
      </w:tr>
    </w:tbl>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line="276"/>
      </w:pPr>
      <w:r>
        <w:t xml:space="preserve">Shoppa is a mobile-first shopping intelligence platform that helps individuals, families, and shopping professionals plan, collaborate on, and execute their shopping — smarter, together, and for less. The platform began as a grocery list tool and is expanding into a comprehensive shopping companion spanning lists of every kind, real-time collaboration, crowd-sourced price intelligence, and integration with South African on-demand delivery services.</w:t>
      </w:r>
    </w:p>
    <w:p>
      <w:pPr>
        <w:spacing w:after="120" w:line="276"/>
      </w:pPr>
      <w:r>
        <w:t xml:space="preserve">This document defines the business rationale, objectives, scope, stakeholders, and high-level requirements that govern the project. It is the reference point against which functional and technical specifications are derived.</w:t>
      </w:r>
    </w:p>
    <w:p>
      <w:pPr>
        <w:pStyle w:val="Heading1"/>
      </w:pPr>
      <w:r>
        <w:t xml:space="preserve">2. Business Context &amp; Problem Statement</w:t>
      </w:r>
    </w:p>
    <w:p>
      <w:pPr>
        <w:spacing w:after="120" w:line="276"/>
      </w:pPr>
      <w:r>
        <w:t xml:space="preserve">Shoppers today juggle fragmented tools: notes apps for lists, separate retailer apps for prices and delivery, and group chats for coordinating household or event shopping. There is no single place to plan a shop, see who has the best price nearby, coordinate with others in real time, and act on it — whether by walking the aisles or ordering for same-day delivery.</w:t>
      </w:r>
    </w:p>
    <w:p>
      <w:pPr>
        <w:spacing w:after="120" w:line="276"/>
      </w:pPr>
      <w:r>
        <w:t xml:space="preserve">For professionals — caterers, chefs, and event organizers — the gap is sharper. They manage large, repeatable ingredient and supply lists that must scale by guest count and be shared with teams and clients, yet they rely on spreadsheets and manual recalculation.</w:t>
      </w:r>
    </w:p>
    <w:p>
      <w:pPr>
        <w:spacing w:after="120" w:line="276"/>
      </w:pPr>
      <w:r>
        <w:t xml:space="preserve">Shoppa addresses these gaps with one platform that unifies list management, collaboration, price intelligence, and delivery — localized for South Africa first, and architected to expand internationally.</w:t>
      </w:r>
    </w:p>
    <w:p>
      <w:pPr>
        <w:pStyle w:val="Heading1"/>
      </w:pPr>
      <w:r>
        <w:t xml:space="preserve">3. Business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rPr>
          <w:tblHeader/>
        </w:trPr>
        <w:tc>
          <w:tcPr>
            <w:tcW w:type="dxa" w:w="600"/>
            <w:tcBorders>
              <w:top w:val="single" w:color="E2E8F0" w:sz="4"/>
              <w:left w:val="single" w:color="E2E8F0" w:sz="4"/>
              <w:bottom w:val="single" w:color="E2E8F0" w:sz="4"/>
              <w:right w:val="single" w:color="E2E8F0" w:sz="4"/>
            </w:tcBorders>
            <w:shd w:fill="0B1220" w:val="clear"/>
            <w:tcMar>
              <w:top w:type="dxa" w:w="70"/>
              <w:left w:type="dxa" w:w="130"/>
              <w:bottom w:type="dxa" w:w="70"/>
              <w:right w:type="dxa" w:w="130"/>
            </w:tcMar>
            <w:vAlign w:val="center"/>
          </w:tcPr>
          <w:p>
            <w:pPr>
              <w:jc w:val="left"/>
            </w:pPr>
            <w:r>
              <w:rPr>
                <w:b/>
                <w:bCs/>
                <w:color w:val="FFFFFF"/>
                <w:sz w:val="20"/>
                <w:szCs w:val="20"/>
              </w:rPr>
              <w:t xml:space="preserve">#</w:t>
            </w:r>
          </w:p>
        </w:tc>
        <w:tc>
          <w:tcPr>
            <w:tcW w:type="dxa" w:w="4380"/>
            <w:tcBorders>
              <w:top w:val="single" w:color="E2E8F0" w:sz="4"/>
              <w:left w:val="single" w:color="E2E8F0" w:sz="4"/>
              <w:bottom w:val="single" w:color="E2E8F0" w:sz="4"/>
              <w:right w:val="single" w:color="E2E8F0" w:sz="4"/>
            </w:tcBorders>
            <w:shd w:fill="0B1220" w:val="clear"/>
            <w:tcMar>
              <w:top w:type="dxa" w:w="70"/>
              <w:left w:type="dxa" w:w="130"/>
              <w:bottom w:type="dxa" w:w="70"/>
              <w:right w:type="dxa" w:w="130"/>
            </w:tcMar>
            <w:vAlign w:val="center"/>
          </w:tcPr>
          <w:p>
            <w:pPr>
              <w:jc w:val="left"/>
            </w:pPr>
            <w:r>
              <w:rPr>
                <w:b/>
                <w:bCs/>
                <w:color w:val="FFFFFF"/>
                <w:sz w:val="20"/>
                <w:szCs w:val="20"/>
              </w:rPr>
              <w:t xml:space="preserve">Objective</w:t>
            </w:r>
          </w:p>
        </w:tc>
        <w:tc>
          <w:tcPr>
            <w:tcW w:type="dxa" w:w="4380"/>
            <w:tcBorders>
              <w:top w:val="single" w:color="E2E8F0" w:sz="4"/>
              <w:left w:val="single" w:color="E2E8F0" w:sz="4"/>
              <w:bottom w:val="single" w:color="E2E8F0" w:sz="4"/>
              <w:right w:val="single" w:color="E2E8F0" w:sz="4"/>
            </w:tcBorders>
            <w:shd w:fill="0B1220" w:val="clear"/>
            <w:tcMar>
              <w:top w:type="dxa" w:w="70"/>
              <w:left w:type="dxa" w:w="130"/>
              <w:bottom w:type="dxa" w:w="70"/>
              <w:right w:type="dxa" w:w="130"/>
            </w:tcMar>
            <w:vAlign w:val="center"/>
          </w:tcPr>
          <w:p>
            <w:pPr>
              <w:jc w:val="left"/>
            </w:pPr>
            <w:r>
              <w:rPr>
                <w:b/>
                <w:bCs/>
                <w:color w:val="FFFFFF"/>
                <w:sz w:val="20"/>
                <w:szCs w:val="20"/>
              </w:rPr>
              <w:t xml:space="preserve">Success Indicator</w:t>
            </w:r>
          </w:p>
        </w:tc>
      </w:tr>
      <w:tr>
        <w:tc>
          <w:tcPr>
            <w:tcW w:type="dxa" w:w="600"/>
            <w:tcBorders>
              <w:top w:val="single" w:color="E2E8F0" w:sz="4"/>
              <w:left w:val="single" w:color="E2E8F0" w:sz="4"/>
              <w:bottom w:val="single" w:color="E2E8F0" w:sz="4"/>
              <w:right w:val="single" w:color="E2E8F0" w:sz="4"/>
            </w:tcBorders>
            <w:shd w:fill="FFFFFF" w:val="clear"/>
            <w:tcMar>
              <w:top w:type="dxa" w:w="70"/>
              <w:left w:type="dxa" w:w="130"/>
              <w:bottom w:type="dxa" w:w="70"/>
              <w:right w:type="dxa" w:w="130"/>
            </w:tcMar>
            <w:vAlign w:val="center"/>
          </w:tcPr>
          <w:p>
            <w:pPr>
              <w:jc w:val="left"/>
            </w:pPr>
            <w:r>
              <w:rPr>
                <w:b/>
                <w:bCs/>
                <w:color w:val="1E293B"/>
                <w:sz w:val="20"/>
                <w:szCs w:val="20"/>
              </w:rPr>
              <w:t xml:space="preserve">O1</w:t>
            </w:r>
          </w:p>
        </w:tc>
        <w:tc>
          <w:tcPr>
            <w:tcW w:type="dxa" w:w="4380"/>
            <w:tcBorders>
              <w:top w:val="single" w:color="E2E8F0" w:sz="4"/>
              <w:left w:val="single" w:color="E2E8F0" w:sz="4"/>
              <w:bottom w:val="single" w:color="E2E8F0" w:sz="4"/>
              <w:right w:val="single" w:color="E2E8F0" w:sz="4"/>
            </w:tcBorders>
            <w:shd w:fill="FFFFFF" w:val="clear"/>
            <w:tcMar>
              <w:top w:type="dxa" w:w="70"/>
              <w:left w:type="dxa" w:w="130"/>
              <w:bottom w:type="dxa" w:w="70"/>
              <w:right w:type="dxa" w:w="130"/>
            </w:tcMar>
            <w:vAlign w:val="center"/>
          </w:tcPr>
          <w:p>
            <w:pPr>
              <w:jc w:val="left"/>
            </w:pPr>
            <w:r>
              <w:rPr>
                <w:b w:val="false"/>
                <w:bCs w:val="false"/>
                <w:color w:val="1E293B"/>
                <w:sz w:val="20"/>
                <w:szCs w:val="20"/>
              </w:rPr>
              <w:t xml:space="preserve">Become the default shopping list and planning app for SA households</w:t>
            </w:r>
          </w:p>
        </w:tc>
        <w:tc>
          <w:tcPr>
            <w:tcW w:type="dxa" w:w="4380"/>
            <w:tcBorders>
              <w:top w:val="single" w:color="E2E8F0" w:sz="4"/>
              <w:left w:val="single" w:color="E2E8F0" w:sz="4"/>
              <w:bottom w:val="single" w:color="E2E8F0" w:sz="4"/>
              <w:right w:val="single" w:color="E2E8F0" w:sz="4"/>
            </w:tcBorders>
            <w:shd w:fill="FFFFFF" w:val="clear"/>
            <w:tcMar>
              <w:top w:type="dxa" w:w="70"/>
              <w:left w:type="dxa" w:w="130"/>
              <w:bottom w:type="dxa" w:w="70"/>
              <w:right w:type="dxa" w:w="130"/>
            </w:tcMar>
            <w:vAlign w:val="center"/>
          </w:tcPr>
          <w:p>
            <w:pPr>
              <w:jc w:val="left"/>
            </w:pPr>
            <w:r>
              <w:rPr>
                <w:b w:val="false"/>
                <w:bCs w:val="false"/>
                <w:color w:val="1E293B"/>
                <w:sz w:val="20"/>
                <w:szCs w:val="20"/>
              </w:rPr>
              <w:t xml:space="preserve">Monthly active users and lists created per user</w:t>
            </w:r>
          </w:p>
        </w:tc>
      </w:tr>
      <w:tr>
        <w:tc>
          <w:tcPr>
            <w:tcW w:type="dxa" w:w="600"/>
            <w:tcBorders>
              <w:top w:val="single" w:color="E2E8F0" w:sz="4"/>
              <w:left w:val="single" w:color="E2E8F0" w:sz="4"/>
              <w:bottom w:val="single" w:color="E2E8F0" w:sz="4"/>
              <w:right w:val="single" w:color="E2E8F0" w:sz="4"/>
            </w:tcBorders>
            <w:shd w:fill="F1F5F9" w:val="clear"/>
            <w:tcMar>
              <w:top w:type="dxa" w:w="70"/>
              <w:left w:type="dxa" w:w="130"/>
              <w:bottom w:type="dxa" w:w="70"/>
              <w:right w:type="dxa" w:w="130"/>
            </w:tcMar>
            <w:vAlign w:val="center"/>
          </w:tcPr>
          <w:p>
            <w:pPr>
              <w:jc w:val="left"/>
            </w:pPr>
            <w:r>
              <w:rPr>
                <w:b/>
                <w:bCs/>
                <w:color w:val="1E293B"/>
                <w:sz w:val="20"/>
                <w:szCs w:val="20"/>
              </w:rPr>
              <w:t xml:space="preserve">O2</w:t>
            </w:r>
          </w:p>
        </w:tc>
        <w:tc>
          <w:tcPr>
            <w:tcW w:type="dxa" w:w="4380"/>
            <w:tcBorders>
              <w:top w:val="single" w:color="E2E8F0" w:sz="4"/>
              <w:left w:val="single" w:color="E2E8F0" w:sz="4"/>
              <w:bottom w:val="single" w:color="E2E8F0" w:sz="4"/>
              <w:right w:val="single" w:color="E2E8F0" w:sz="4"/>
            </w:tcBorders>
            <w:shd w:fill="F1F5F9" w:val="clear"/>
            <w:tcMar>
              <w:top w:type="dxa" w:w="70"/>
              <w:left w:type="dxa" w:w="130"/>
              <w:bottom w:type="dxa" w:w="70"/>
              <w:right w:type="dxa" w:w="130"/>
            </w:tcMar>
            <w:vAlign w:val="center"/>
          </w:tcPr>
          <w:p>
            <w:pPr>
              <w:jc w:val="left"/>
            </w:pPr>
            <w:r>
              <w:rPr>
                <w:b w:val="false"/>
                <w:bCs w:val="false"/>
                <w:color w:val="1E293B"/>
                <w:sz w:val="20"/>
                <w:szCs w:val="20"/>
              </w:rPr>
              <w:t xml:space="preserve">Deliver trustworthy price comparison across stores and delivery platforms</w:t>
            </w:r>
          </w:p>
        </w:tc>
        <w:tc>
          <w:tcPr>
            <w:tcW w:type="dxa" w:w="4380"/>
            <w:tcBorders>
              <w:top w:val="single" w:color="E2E8F0" w:sz="4"/>
              <w:left w:val="single" w:color="E2E8F0" w:sz="4"/>
              <w:bottom w:val="single" w:color="E2E8F0" w:sz="4"/>
              <w:right w:val="single" w:color="E2E8F0" w:sz="4"/>
            </w:tcBorders>
            <w:shd w:fill="F1F5F9" w:val="clear"/>
            <w:tcMar>
              <w:top w:type="dxa" w:w="70"/>
              <w:left w:type="dxa" w:w="130"/>
              <w:bottom w:type="dxa" w:w="70"/>
              <w:right w:type="dxa" w:w="130"/>
            </w:tcMar>
            <w:vAlign w:val="center"/>
          </w:tcPr>
          <w:p>
            <w:pPr>
              <w:jc w:val="left"/>
            </w:pPr>
            <w:r>
              <w:rPr>
                <w:b w:val="false"/>
                <w:bCs w:val="false"/>
                <w:color w:val="1E293B"/>
                <w:sz w:val="20"/>
                <w:szCs w:val="20"/>
              </w:rPr>
              <w:t xml:space="preserve">Price coverage %, contribution accuracy score</w:t>
            </w:r>
          </w:p>
        </w:tc>
      </w:tr>
      <w:tr>
        <w:tc>
          <w:tcPr>
            <w:tcW w:type="dxa" w:w="600"/>
            <w:tcBorders>
              <w:top w:val="single" w:color="E2E8F0" w:sz="4"/>
              <w:left w:val="single" w:color="E2E8F0" w:sz="4"/>
              <w:bottom w:val="single" w:color="E2E8F0" w:sz="4"/>
              <w:right w:val="single" w:color="E2E8F0" w:sz="4"/>
            </w:tcBorders>
            <w:shd w:fill="FFFFFF" w:val="clear"/>
            <w:tcMar>
              <w:top w:type="dxa" w:w="70"/>
              <w:left w:type="dxa" w:w="130"/>
              <w:bottom w:type="dxa" w:w="70"/>
              <w:right w:type="dxa" w:w="130"/>
            </w:tcMar>
            <w:vAlign w:val="center"/>
          </w:tcPr>
          <w:p>
            <w:pPr>
              <w:jc w:val="left"/>
            </w:pPr>
            <w:r>
              <w:rPr>
                <w:b/>
                <w:bCs/>
                <w:color w:val="1E293B"/>
                <w:sz w:val="20"/>
                <w:szCs w:val="20"/>
              </w:rPr>
              <w:t xml:space="preserve">O3</w:t>
            </w:r>
          </w:p>
        </w:tc>
        <w:tc>
          <w:tcPr>
            <w:tcW w:type="dxa" w:w="4380"/>
            <w:tcBorders>
              <w:top w:val="single" w:color="E2E8F0" w:sz="4"/>
              <w:left w:val="single" w:color="E2E8F0" w:sz="4"/>
              <w:bottom w:val="single" w:color="E2E8F0" w:sz="4"/>
              <w:right w:val="single" w:color="E2E8F0" w:sz="4"/>
            </w:tcBorders>
            <w:shd w:fill="FFFFFF" w:val="clear"/>
            <w:tcMar>
              <w:top w:type="dxa" w:w="70"/>
              <w:left w:type="dxa" w:w="130"/>
              <w:bottom w:type="dxa" w:w="70"/>
              <w:right w:type="dxa" w:w="130"/>
            </w:tcMar>
            <w:vAlign w:val="center"/>
          </w:tcPr>
          <w:p>
            <w:pPr>
              <w:jc w:val="left"/>
            </w:pPr>
            <w:r>
              <w:rPr>
                <w:b w:val="false"/>
                <w:bCs w:val="false"/>
                <w:color w:val="1E293B"/>
                <w:sz w:val="20"/>
                <w:szCs w:val="20"/>
              </w:rPr>
              <w:t xml:space="preserve">Enable real-time collaboration for families, teams, and professionals</w:t>
            </w:r>
          </w:p>
        </w:tc>
        <w:tc>
          <w:tcPr>
            <w:tcW w:type="dxa" w:w="4380"/>
            <w:tcBorders>
              <w:top w:val="single" w:color="E2E8F0" w:sz="4"/>
              <w:left w:val="single" w:color="E2E8F0" w:sz="4"/>
              <w:bottom w:val="single" w:color="E2E8F0" w:sz="4"/>
              <w:right w:val="single" w:color="E2E8F0" w:sz="4"/>
            </w:tcBorders>
            <w:shd w:fill="FFFFFF" w:val="clear"/>
            <w:tcMar>
              <w:top w:type="dxa" w:w="70"/>
              <w:left w:type="dxa" w:w="130"/>
              <w:bottom w:type="dxa" w:w="70"/>
              <w:right w:type="dxa" w:w="130"/>
            </w:tcMar>
            <w:vAlign w:val="center"/>
          </w:tcPr>
          <w:p>
            <w:pPr>
              <w:jc w:val="left"/>
            </w:pPr>
            <w:r>
              <w:rPr>
                <w:b w:val="false"/>
                <w:bCs w:val="false"/>
                <w:color w:val="1E293B"/>
                <w:sz w:val="20"/>
                <w:szCs w:val="20"/>
              </w:rPr>
              <w:t xml:space="preserve">Shared lists, concurrent editing sessions</w:t>
            </w:r>
          </w:p>
        </w:tc>
      </w:tr>
      <w:tr>
        <w:tc>
          <w:tcPr>
            <w:tcW w:type="dxa" w:w="600"/>
            <w:tcBorders>
              <w:top w:val="single" w:color="E2E8F0" w:sz="4"/>
              <w:left w:val="single" w:color="E2E8F0" w:sz="4"/>
              <w:bottom w:val="single" w:color="E2E8F0" w:sz="4"/>
              <w:right w:val="single" w:color="E2E8F0" w:sz="4"/>
            </w:tcBorders>
            <w:shd w:fill="F1F5F9" w:val="clear"/>
            <w:tcMar>
              <w:top w:type="dxa" w:w="70"/>
              <w:left w:type="dxa" w:w="130"/>
              <w:bottom w:type="dxa" w:w="70"/>
              <w:right w:type="dxa" w:w="130"/>
            </w:tcMar>
            <w:vAlign w:val="center"/>
          </w:tcPr>
          <w:p>
            <w:pPr>
              <w:jc w:val="left"/>
            </w:pPr>
            <w:r>
              <w:rPr>
                <w:b/>
                <w:bCs/>
                <w:color w:val="1E293B"/>
                <w:sz w:val="20"/>
                <w:szCs w:val="20"/>
              </w:rPr>
              <w:t xml:space="preserve">O4</w:t>
            </w:r>
          </w:p>
        </w:tc>
        <w:tc>
          <w:tcPr>
            <w:tcW w:type="dxa" w:w="4380"/>
            <w:tcBorders>
              <w:top w:val="single" w:color="E2E8F0" w:sz="4"/>
              <w:left w:val="single" w:color="E2E8F0" w:sz="4"/>
              <w:bottom w:val="single" w:color="E2E8F0" w:sz="4"/>
              <w:right w:val="single" w:color="E2E8F0" w:sz="4"/>
            </w:tcBorders>
            <w:shd w:fill="F1F5F9" w:val="clear"/>
            <w:tcMar>
              <w:top w:type="dxa" w:w="70"/>
              <w:left w:type="dxa" w:w="130"/>
              <w:bottom w:type="dxa" w:w="70"/>
              <w:right w:type="dxa" w:w="130"/>
            </w:tcMar>
            <w:vAlign w:val="center"/>
          </w:tcPr>
          <w:p>
            <w:pPr>
              <w:jc w:val="left"/>
            </w:pPr>
            <w:r>
              <w:rPr>
                <w:b w:val="false"/>
                <w:bCs w:val="false"/>
                <w:color w:val="1E293B"/>
                <w:sz w:val="20"/>
                <w:szCs w:val="20"/>
              </w:rPr>
              <w:t xml:space="preserve">Establish multiple revenue streams (subscriptions, affiliate, promotions, in-app advertising)</w:t>
            </w:r>
          </w:p>
        </w:tc>
        <w:tc>
          <w:tcPr>
            <w:tcW w:type="dxa" w:w="4380"/>
            <w:tcBorders>
              <w:top w:val="single" w:color="E2E8F0" w:sz="4"/>
              <w:left w:val="single" w:color="E2E8F0" w:sz="4"/>
              <w:bottom w:val="single" w:color="E2E8F0" w:sz="4"/>
              <w:right w:val="single" w:color="E2E8F0" w:sz="4"/>
            </w:tcBorders>
            <w:shd w:fill="F1F5F9" w:val="clear"/>
            <w:tcMar>
              <w:top w:type="dxa" w:w="70"/>
              <w:left w:type="dxa" w:w="130"/>
              <w:bottom w:type="dxa" w:w="70"/>
              <w:right w:type="dxa" w:w="130"/>
            </w:tcMar>
            <w:vAlign w:val="center"/>
          </w:tcPr>
          <w:p>
            <w:pPr>
              <w:jc w:val="left"/>
            </w:pPr>
            <w:r>
              <w:rPr>
                <w:b w:val="false"/>
                <w:bCs w:val="false"/>
                <w:color w:val="1E293B"/>
                <w:sz w:val="20"/>
                <w:szCs w:val="20"/>
              </w:rPr>
              <w:t xml:space="preserve">Conversion to paid tiers, affiliate click-through revenue</w:t>
            </w:r>
          </w:p>
        </w:tc>
      </w:tr>
      <w:tr>
        <w:tc>
          <w:tcPr>
            <w:tcW w:type="dxa" w:w="600"/>
            <w:tcBorders>
              <w:top w:val="single" w:color="E2E8F0" w:sz="4"/>
              <w:left w:val="single" w:color="E2E8F0" w:sz="4"/>
              <w:bottom w:val="single" w:color="E2E8F0" w:sz="4"/>
              <w:right w:val="single" w:color="E2E8F0" w:sz="4"/>
            </w:tcBorders>
            <w:shd w:fill="FFFFFF" w:val="clear"/>
            <w:tcMar>
              <w:top w:type="dxa" w:w="70"/>
              <w:left w:type="dxa" w:w="130"/>
              <w:bottom w:type="dxa" w:w="70"/>
              <w:right w:type="dxa" w:w="130"/>
            </w:tcMar>
            <w:vAlign w:val="center"/>
          </w:tcPr>
          <w:p>
            <w:pPr>
              <w:jc w:val="left"/>
            </w:pPr>
            <w:r>
              <w:rPr>
                <w:b/>
                <w:bCs/>
                <w:color w:val="1E293B"/>
                <w:sz w:val="20"/>
                <w:szCs w:val="20"/>
              </w:rPr>
              <w:t xml:space="preserve">O5</w:t>
            </w:r>
          </w:p>
        </w:tc>
        <w:tc>
          <w:tcPr>
            <w:tcW w:type="dxa" w:w="4380"/>
            <w:tcBorders>
              <w:top w:val="single" w:color="E2E8F0" w:sz="4"/>
              <w:left w:val="single" w:color="E2E8F0" w:sz="4"/>
              <w:bottom w:val="single" w:color="E2E8F0" w:sz="4"/>
              <w:right w:val="single" w:color="E2E8F0" w:sz="4"/>
            </w:tcBorders>
            <w:shd w:fill="FFFFFF" w:val="clear"/>
            <w:tcMar>
              <w:top w:type="dxa" w:w="70"/>
              <w:left w:type="dxa" w:w="130"/>
              <w:bottom w:type="dxa" w:w="70"/>
              <w:right w:type="dxa" w:w="130"/>
            </w:tcMar>
            <w:vAlign w:val="center"/>
          </w:tcPr>
          <w:p>
            <w:pPr>
              <w:jc w:val="left"/>
            </w:pPr>
            <w:r>
              <w:rPr>
                <w:b w:val="false"/>
                <w:bCs w:val="false"/>
                <w:color w:val="1E293B"/>
                <w:sz w:val="20"/>
                <w:szCs w:val="20"/>
              </w:rPr>
              <w:t xml:space="preserve">Build a defensible data asset from crowd-sourced real-time pricing</w:t>
            </w:r>
          </w:p>
        </w:tc>
        <w:tc>
          <w:tcPr>
            <w:tcW w:type="dxa" w:w="4380"/>
            <w:tcBorders>
              <w:top w:val="single" w:color="E2E8F0" w:sz="4"/>
              <w:left w:val="single" w:color="E2E8F0" w:sz="4"/>
              <w:bottom w:val="single" w:color="E2E8F0" w:sz="4"/>
              <w:right w:val="single" w:color="E2E8F0" w:sz="4"/>
            </w:tcBorders>
            <w:shd w:fill="FFFFFF" w:val="clear"/>
            <w:tcMar>
              <w:top w:type="dxa" w:w="70"/>
              <w:left w:type="dxa" w:w="130"/>
              <w:bottom w:type="dxa" w:w="70"/>
              <w:right w:type="dxa" w:w="130"/>
            </w:tcMar>
            <w:vAlign w:val="center"/>
          </w:tcPr>
          <w:p>
            <w:pPr>
              <w:jc w:val="left"/>
            </w:pPr>
            <w:r>
              <w:rPr>
                <w:b w:val="false"/>
                <w:bCs w:val="false"/>
                <w:color w:val="1E293B"/>
                <w:sz w:val="20"/>
                <w:szCs w:val="20"/>
              </w:rPr>
              <w:t xml:space="preserve">Volume and freshness of price observations</w:t>
            </w:r>
          </w:p>
        </w:tc>
      </w:tr>
    </w:tbl>
    <w:p>
      <w:pPr>
        <w:pStyle w:val="Heading1"/>
      </w:pPr>
      <w:r>
        <w:t xml:space="preserve">4. Project Scope</w:t>
      </w:r>
    </w:p>
    <w:p>
      <w:pPr>
        <w:pStyle w:val="Heading2"/>
      </w:pPr>
      <w:r>
        <w:t xml:space="preserve">4.1 In Scope</w:t>
      </w:r>
    </w:p>
    <w:p>
      <w:pPr>
        <w:pStyle w:val="ListParagraph"/>
        <w:numPr>
          <w:ilvl w:val="0"/>
          <w:numId w:val="2"/>
        </w:numPr>
        <w:spacing w:after="70" w:line="270"/>
      </w:pPr>
      <w:r>
        <w:rPr>
          <w:b w:val="false"/>
          <w:bCs w:val="false"/>
        </w:rPr>
        <w:t xml:space="preserve">Shopping list creation across categories: groceries, clothing, wishlists, event supplies, ingredient lists, and user-defined types</w:t>
      </w:r>
    </w:p>
    <w:p>
      <w:pPr>
        <w:pStyle w:val="ListParagraph"/>
        <w:numPr>
          <w:ilvl w:val="0"/>
          <w:numId w:val="2"/>
        </w:numPr>
        <w:spacing w:after="70" w:line="270"/>
      </w:pPr>
      <w:r>
        <w:rPr>
          <w:b w:val="false"/>
          <w:bCs w:val="false"/>
        </w:rPr>
        <w:t xml:space="preserve">Real-time collaborative editing, sharing with permissions, in-app chat and calls</w:t>
      </w:r>
    </w:p>
    <w:p>
      <w:pPr>
        <w:pStyle w:val="ListParagraph"/>
        <w:numPr>
          <w:ilvl w:val="0"/>
          <w:numId w:val="2"/>
        </w:numPr>
        <w:spacing w:after="70" w:line="270"/>
      </w:pPr>
      <w:r>
        <w:rPr>
          <w:b w:val="false"/>
          <w:bCs w:val="false"/>
        </w:rPr>
        <w:t xml:space="preserve">In-store shopping mode with offline support and price capture at check-off</w:t>
      </w:r>
    </w:p>
    <w:p>
      <w:pPr>
        <w:pStyle w:val="ListParagraph"/>
        <w:numPr>
          <w:ilvl w:val="0"/>
          <w:numId w:val="2"/>
        </w:numPr>
        <w:spacing w:after="70" w:line="270"/>
      </w:pPr>
      <w:r>
        <w:rPr>
          <w:b w:val="false"/>
          <w:bCs w:val="false"/>
        </w:rPr>
        <w:t xml:space="preserve">Price intelligence via crowd-sourcing, web scraping, and (where available) store data</w:t>
      </w:r>
    </w:p>
    <w:p>
      <w:pPr>
        <w:pStyle w:val="ListParagraph"/>
        <w:numPr>
          <w:ilvl w:val="0"/>
          <w:numId w:val="2"/>
        </w:numPr>
        <w:spacing w:after="70" w:line="270"/>
      </w:pPr>
      <w:r>
        <w:rPr>
          <w:b w:val="false"/>
          <w:bCs w:val="false"/>
        </w:rPr>
        <w:t xml:space="preserve">Delivery platform comparison for Checkers 60/60, Pick n Pay ASAP, Spar 2u, and Woolies Dash</w:t>
      </w:r>
    </w:p>
    <w:p>
      <w:pPr>
        <w:pStyle w:val="ListParagraph"/>
        <w:numPr>
          <w:ilvl w:val="0"/>
          <w:numId w:val="2"/>
        </w:numPr>
        <w:spacing w:after="70" w:line="270"/>
      </w:pPr>
      <w:r>
        <w:rPr>
          <w:b w:val="false"/>
          <w:bCs w:val="false"/>
        </w:rPr>
        <w:t xml:space="preserve">Targeted store promotions matched to list contents</w:t>
      </w:r>
    </w:p>
    <w:p>
      <w:pPr>
        <w:pStyle w:val="ListParagraph"/>
        <w:numPr>
          <w:ilvl w:val="0"/>
          <w:numId w:val="2"/>
        </w:numPr>
        <w:spacing w:after="70" w:line="270"/>
      </w:pPr>
      <w:r>
        <w:rPr>
          <w:b w:val="false"/>
          <w:bCs w:val="false"/>
        </w:rPr>
        <w:t xml:space="preserve">Professional tooling: quantity scaling, event lists, public list publishing</w:t>
      </w:r>
    </w:p>
    <w:p>
      <w:pPr>
        <w:pStyle w:val="ListParagraph"/>
        <w:numPr>
          <w:ilvl w:val="0"/>
          <w:numId w:val="2"/>
        </w:numPr>
        <w:spacing w:after="70" w:line="270"/>
      </w:pPr>
      <w:r>
        <w:rPr>
          <w:b w:val="false"/>
          <w:bCs w:val="false"/>
        </w:rPr>
        <w:t xml:space="preserve">Subscription-ready feature gating across all account types</w:t>
      </w:r>
    </w:p>
    <w:p>
      <w:pPr>
        <w:pStyle w:val="ListParagraph"/>
        <w:numPr>
          <w:ilvl w:val="0"/>
          <w:numId w:val="2"/>
        </w:numPr>
        <w:spacing w:after="70" w:line="270"/>
      </w:pPr>
      <w:r>
        <w:rPr>
          <w:b w:val="false"/>
          <w:bCs w:val="false"/>
        </w:rPr>
        <w:t xml:space="preserve">Admin web console for moderation, partner management, and analytics</w:t>
      </w:r>
    </w:p>
    <w:p>
      <w:pPr>
        <w:pStyle w:val="ListParagraph"/>
        <w:numPr>
          <w:ilvl w:val="0"/>
          <w:numId w:val="2"/>
        </w:numPr>
        <w:spacing w:after="70" w:line="270"/>
      </w:pPr>
      <w:r>
        <w:rPr>
          <w:b w:val="false"/>
          <w:bCs w:val="false"/>
        </w:rPr>
        <w:t xml:space="preserve">House-sold in-app advertising (banner, native/sponsored, interstitial/rewarded) with ad-free as a paid-tier benefit</w:t>
      </w:r>
    </w:p>
    <w:p>
      <w:pPr>
        <w:pStyle w:val="Heading2"/>
      </w:pPr>
      <w:r>
        <w:t xml:space="preserve">4.2 Out of Scope (Initial Release)</w:t>
      </w:r>
    </w:p>
    <w:p>
      <w:pPr>
        <w:pStyle w:val="ListParagraph"/>
        <w:numPr>
          <w:ilvl w:val="0"/>
          <w:numId w:val="2"/>
        </w:numPr>
        <w:spacing w:after="70" w:line="270"/>
      </w:pPr>
      <w:r>
        <w:rPr>
          <w:b w:val="false"/>
          <w:bCs w:val="false"/>
        </w:rPr>
        <w:t xml:space="preserve">Official delivery-platform API partnerships (initial release relies on scraping and crowd-sourced data)</w:t>
      </w:r>
    </w:p>
    <w:p>
      <w:pPr>
        <w:pStyle w:val="ListParagraph"/>
        <w:numPr>
          <w:ilvl w:val="0"/>
          <w:numId w:val="2"/>
        </w:numPr>
        <w:spacing w:after="70" w:line="270"/>
      </w:pPr>
      <w:r>
        <w:rPr>
          <w:b w:val="false"/>
          <w:bCs w:val="false"/>
        </w:rPr>
        <w:t xml:space="preserve">In-app payment for groceries (orders hand off to the delivery platform)</w:t>
      </w:r>
    </w:p>
    <w:p>
      <w:pPr>
        <w:pStyle w:val="ListParagraph"/>
        <w:numPr>
          <w:ilvl w:val="0"/>
          <w:numId w:val="2"/>
        </w:numPr>
        <w:spacing w:after="70" w:line="270"/>
      </w:pPr>
      <w:r>
        <w:rPr>
          <w:b w:val="false"/>
          <w:bCs w:val="false"/>
        </w:rPr>
        <w:t xml:space="preserve">International regions at launch (architecture provisions for multi-region, SA ships first)</w:t>
      </w:r>
    </w:p>
    <w:p>
      <w:pPr>
        <w:pStyle w:val="ListParagraph"/>
        <w:numPr>
          <w:ilvl w:val="0"/>
          <w:numId w:val="2"/>
        </w:numPr>
        <w:spacing w:after="70" w:line="270"/>
      </w:pPr>
      <w:r>
        <w:rPr>
          <w:b w:val="false"/>
          <w:bCs w:val="false"/>
        </w:rPr>
        <w:t xml:space="preserve">Third-party ad network integration (e.g. AdMob, Meta Audience Network) — initial release is house ads only, sold and served directly</w:t>
      </w:r>
    </w:p>
    <w:p>
      <w:pPr>
        <w:spacing w:after="40" w:before="120"/>
        <w:jc w:val="center"/>
      </w:pPr>
      <w:r>
        <w:drawing>
          <wp:inline distT="0" distB="0" distL="0" distR="0">
            <wp:extent cx="5715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114800"/>
                    </a:xfrm>
                    <a:prstGeom prst="rect">
                      <a:avLst/>
                    </a:prstGeom>
                  </pic:spPr>
                </pic:pic>
              </a:graphicData>
            </a:graphic>
          </wp:inline>
        </w:drawing>
      </w:r>
    </w:p>
    <w:p>
      <w:pPr>
        <w:pStyle w:val="Caption"/>
      </w:pPr>
      <w:r>
        <w:t xml:space="preserve">Figure 1 — System context: actors, the Shoppa platform, and external systems.</w:t>
      </w:r>
    </w:p>
    <w:p>
      <w:pPr>
        <w:pStyle w:val="Heading1"/>
      </w:pPr>
      <w:r>
        <w:t xml:space="preserve">5.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E2E8F0" w:sz="4"/>
              <w:left w:val="single" w:color="E2E8F0" w:sz="4"/>
              <w:bottom w:val="single" w:color="E2E8F0" w:sz="4"/>
              <w:right w:val="single" w:color="E2E8F0" w:sz="4"/>
            </w:tcBorders>
            <w:shd w:fill="0B1220" w:val="clear"/>
            <w:tcMar>
              <w:top w:type="dxa" w:w="70"/>
              <w:left w:type="dxa" w:w="130"/>
              <w:bottom w:type="dxa" w:w="70"/>
              <w:right w:type="dxa" w:w="130"/>
            </w:tcMar>
            <w:vAlign w:val="center"/>
          </w:tcPr>
          <w:p>
            <w:pPr>
              <w:jc w:val="left"/>
            </w:pPr>
            <w:r>
              <w:rPr>
                <w:b/>
                <w:bCs/>
                <w:color w:val="FFFFFF"/>
                <w:sz w:val="20"/>
                <w:szCs w:val="20"/>
              </w:rPr>
              <w:t xml:space="preserve">Stakeholder</w:t>
            </w:r>
          </w:p>
        </w:tc>
        <w:tc>
          <w:tcPr>
            <w:tcW w:type="dxa" w:w="3480"/>
            <w:tcBorders>
              <w:top w:val="single" w:color="E2E8F0" w:sz="4"/>
              <w:left w:val="single" w:color="E2E8F0" w:sz="4"/>
              <w:bottom w:val="single" w:color="E2E8F0" w:sz="4"/>
              <w:right w:val="single" w:color="E2E8F0" w:sz="4"/>
            </w:tcBorders>
            <w:shd w:fill="0B1220" w:val="clear"/>
            <w:tcMar>
              <w:top w:type="dxa" w:w="70"/>
              <w:left w:type="dxa" w:w="130"/>
              <w:bottom w:type="dxa" w:w="70"/>
              <w:right w:type="dxa" w:w="130"/>
            </w:tcMar>
            <w:vAlign w:val="center"/>
          </w:tcPr>
          <w:p>
            <w:pPr>
              <w:jc w:val="left"/>
            </w:pPr>
            <w:r>
              <w:rPr>
                <w:b/>
                <w:bCs/>
                <w:color w:val="FFFFFF"/>
                <w:sz w:val="20"/>
                <w:szCs w:val="20"/>
              </w:rPr>
              <w:t xml:space="preserve">Interest</w:t>
            </w:r>
          </w:p>
        </w:tc>
        <w:tc>
          <w:tcPr>
            <w:tcW w:type="dxa" w:w="3480"/>
            <w:tcBorders>
              <w:top w:val="single" w:color="E2E8F0" w:sz="4"/>
              <w:left w:val="single" w:color="E2E8F0" w:sz="4"/>
              <w:bottom w:val="single" w:color="E2E8F0" w:sz="4"/>
              <w:right w:val="single" w:color="E2E8F0" w:sz="4"/>
            </w:tcBorders>
            <w:shd w:fill="0B1220" w:val="clear"/>
            <w:tcMar>
              <w:top w:type="dxa" w:w="70"/>
              <w:left w:type="dxa" w:w="130"/>
              <w:bottom w:type="dxa" w:w="70"/>
              <w:right w:type="dxa" w:w="130"/>
            </w:tcMar>
            <w:vAlign w:val="center"/>
          </w:tcPr>
          <w:p>
            <w:pPr>
              <w:jc w:val="left"/>
            </w:pPr>
            <w:r>
              <w:rPr>
                <w:b/>
                <w:bCs/>
                <w:color w:val="FFFFFF"/>
                <w:sz w:val="20"/>
                <w:szCs w:val="20"/>
              </w:rPr>
              <w:t xml:space="preserve">Influence</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30"/>
              <w:bottom w:type="dxa" w:w="70"/>
              <w:right w:type="dxa" w:w="130"/>
            </w:tcMar>
            <w:vAlign w:val="center"/>
          </w:tcPr>
          <w:p>
            <w:pPr>
              <w:jc w:val="left"/>
            </w:pPr>
            <w:r>
              <w:rPr>
                <w:b/>
                <w:bCs/>
                <w:color w:val="1E293B"/>
                <w:sz w:val="20"/>
                <w:szCs w:val="20"/>
              </w:rPr>
              <w:t xml:space="preserve">Personal users</w:t>
            </w:r>
          </w:p>
        </w:tc>
        <w:tc>
          <w:tcPr>
            <w:tcW w:type="dxa" w:w="3480"/>
            <w:tcBorders>
              <w:top w:val="single" w:color="E2E8F0" w:sz="4"/>
              <w:left w:val="single" w:color="E2E8F0" w:sz="4"/>
              <w:bottom w:val="single" w:color="E2E8F0" w:sz="4"/>
              <w:right w:val="single" w:color="E2E8F0" w:sz="4"/>
            </w:tcBorders>
            <w:shd w:fill="FFFFFF" w:val="clear"/>
            <w:tcMar>
              <w:top w:type="dxa" w:w="70"/>
              <w:left w:type="dxa" w:w="130"/>
              <w:bottom w:type="dxa" w:w="70"/>
              <w:right w:type="dxa" w:w="130"/>
            </w:tcMar>
            <w:vAlign w:val="center"/>
          </w:tcPr>
          <w:p>
            <w:pPr>
              <w:jc w:val="left"/>
            </w:pPr>
            <w:r>
              <w:rPr>
                <w:b w:val="false"/>
                <w:bCs w:val="false"/>
                <w:color w:val="1E293B"/>
                <w:sz w:val="20"/>
                <w:szCs w:val="20"/>
              </w:rPr>
              <w:t xml:space="preserve">Save time and money on everyday shopping</w:t>
            </w:r>
          </w:p>
        </w:tc>
        <w:tc>
          <w:tcPr>
            <w:tcW w:type="dxa" w:w="3480"/>
            <w:tcBorders>
              <w:top w:val="single" w:color="E2E8F0" w:sz="4"/>
              <w:left w:val="single" w:color="E2E8F0" w:sz="4"/>
              <w:bottom w:val="single" w:color="E2E8F0" w:sz="4"/>
              <w:right w:val="single" w:color="E2E8F0" w:sz="4"/>
            </w:tcBorders>
            <w:shd w:fill="FFFFFF" w:val="clear"/>
            <w:tcMar>
              <w:top w:type="dxa" w:w="70"/>
              <w:left w:type="dxa" w:w="130"/>
              <w:bottom w:type="dxa" w:w="70"/>
              <w:right w:type="dxa" w:w="130"/>
            </w:tcMar>
            <w:vAlign w:val="center"/>
          </w:tcPr>
          <w:p>
            <w:pPr>
              <w:jc w:val="left"/>
            </w:pPr>
            <w:r>
              <w:rPr>
                <w:b w:val="false"/>
                <w:bCs w:val="false"/>
                <w:color w:val="1E293B"/>
                <w:sz w:val="20"/>
                <w:szCs w:val="20"/>
              </w:rPr>
              <w:t xml:space="preserve">High — primary adoption driver</w:t>
            </w:r>
          </w:p>
        </w:tc>
      </w:tr>
      <w:tr>
        <w:tc>
          <w:tcPr>
            <w:tcW w:type="dxa" w:w="2400"/>
            <w:tcBorders>
              <w:top w:val="single" w:color="E2E8F0" w:sz="4"/>
              <w:left w:val="single" w:color="E2E8F0" w:sz="4"/>
              <w:bottom w:val="single" w:color="E2E8F0" w:sz="4"/>
              <w:right w:val="single" w:color="E2E8F0" w:sz="4"/>
            </w:tcBorders>
            <w:shd w:fill="F1F5F9" w:val="clear"/>
            <w:tcMar>
              <w:top w:type="dxa" w:w="70"/>
              <w:left w:type="dxa" w:w="130"/>
              <w:bottom w:type="dxa" w:w="70"/>
              <w:right w:type="dxa" w:w="130"/>
            </w:tcMar>
            <w:vAlign w:val="center"/>
          </w:tcPr>
          <w:p>
            <w:pPr>
              <w:jc w:val="left"/>
            </w:pPr>
            <w:r>
              <w:rPr>
                <w:b/>
                <w:bCs/>
                <w:color w:val="1E293B"/>
                <w:sz w:val="20"/>
                <w:szCs w:val="20"/>
              </w:rPr>
              <w:t xml:space="preserve">Professional users</w:t>
            </w:r>
          </w:p>
        </w:tc>
        <w:tc>
          <w:tcPr>
            <w:tcW w:type="dxa" w:w="3480"/>
            <w:tcBorders>
              <w:top w:val="single" w:color="E2E8F0" w:sz="4"/>
              <w:left w:val="single" w:color="E2E8F0" w:sz="4"/>
              <w:bottom w:val="single" w:color="E2E8F0" w:sz="4"/>
              <w:right w:val="single" w:color="E2E8F0" w:sz="4"/>
            </w:tcBorders>
            <w:shd w:fill="F1F5F9" w:val="clear"/>
            <w:tcMar>
              <w:top w:type="dxa" w:w="70"/>
              <w:left w:type="dxa" w:w="130"/>
              <w:bottom w:type="dxa" w:w="70"/>
              <w:right w:type="dxa" w:w="130"/>
            </w:tcMar>
            <w:vAlign w:val="center"/>
          </w:tcPr>
          <w:p>
            <w:pPr>
              <w:jc w:val="left"/>
            </w:pPr>
            <w:r>
              <w:rPr>
                <w:b w:val="false"/>
                <w:bCs w:val="false"/>
                <w:color w:val="1E293B"/>
                <w:sz w:val="20"/>
                <w:szCs w:val="20"/>
              </w:rPr>
              <w:t xml:space="preserve">Scale and share ingredient/supply lists</w:t>
            </w:r>
          </w:p>
        </w:tc>
        <w:tc>
          <w:tcPr>
            <w:tcW w:type="dxa" w:w="3480"/>
            <w:tcBorders>
              <w:top w:val="single" w:color="E2E8F0" w:sz="4"/>
              <w:left w:val="single" w:color="E2E8F0" w:sz="4"/>
              <w:bottom w:val="single" w:color="E2E8F0" w:sz="4"/>
              <w:right w:val="single" w:color="E2E8F0" w:sz="4"/>
            </w:tcBorders>
            <w:shd w:fill="F1F5F9" w:val="clear"/>
            <w:tcMar>
              <w:top w:type="dxa" w:w="70"/>
              <w:left w:type="dxa" w:w="130"/>
              <w:bottom w:type="dxa" w:w="70"/>
              <w:right w:type="dxa" w:w="130"/>
            </w:tcMar>
            <w:vAlign w:val="center"/>
          </w:tcPr>
          <w:p>
            <w:pPr>
              <w:jc w:val="left"/>
            </w:pPr>
            <w:r>
              <w:rPr>
                <w:b w:val="false"/>
                <w:bCs w:val="false"/>
                <w:color w:val="1E293B"/>
                <w:sz w:val="20"/>
                <w:szCs w:val="20"/>
              </w:rPr>
              <w:t xml:space="preserve">Medium — high-value segment</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30"/>
              <w:bottom w:type="dxa" w:w="70"/>
              <w:right w:type="dxa" w:w="130"/>
            </w:tcMar>
            <w:vAlign w:val="center"/>
          </w:tcPr>
          <w:p>
            <w:pPr>
              <w:jc w:val="left"/>
            </w:pPr>
            <w:r>
              <w:rPr>
                <w:b/>
                <w:bCs/>
                <w:color w:val="1E293B"/>
                <w:sz w:val="20"/>
                <w:szCs w:val="20"/>
              </w:rPr>
              <w:t xml:space="preserve">Retail &amp; delivery partners</w:t>
            </w:r>
          </w:p>
        </w:tc>
        <w:tc>
          <w:tcPr>
            <w:tcW w:type="dxa" w:w="3480"/>
            <w:tcBorders>
              <w:top w:val="single" w:color="E2E8F0" w:sz="4"/>
              <w:left w:val="single" w:color="E2E8F0" w:sz="4"/>
              <w:bottom w:val="single" w:color="E2E8F0" w:sz="4"/>
              <w:right w:val="single" w:color="E2E8F0" w:sz="4"/>
            </w:tcBorders>
            <w:shd w:fill="FFFFFF" w:val="clear"/>
            <w:tcMar>
              <w:top w:type="dxa" w:w="70"/>
              <w:left w:type="dxa" w:w="130"/>
              <w:bottom w:type="dxa" w:w="70"/>
              <w:right w:type="dxa" w:w="130"/>
            </w:tcMar>
            <w:vAlign w:val="center"/>
          </w:tcPr>
          <w:p>
            <w:pPr>
              <w:jc w:val="left"/>
            </w:pPr>
            <w:r>
              <w:rPr>
                <w:b w:val="false"/>
                <w:bCs w:val="false"/>
                <w:color w:val="1E293B"/>
                <w:sz w:val="20"/>
                <w:szCs w:val="20"/>
              </w:rPr>
              <w:t xml:space="preserve">Reach in-market shoppers, promote products</w:t>
            </w:r>
          </w:p>
        </w:tc>
        <w:tc>
          <w:tcPr>
            <w:tcW w:type="dxa" w:w="3480"/>
            <w:tcBorders>
              <w:top w:val="single" w:color="E2E8F0" w:sz="4"/>
              <w:left w:val="single" w:color="E2E8F0" w:sz="4"/>
              <w:bottom w:val="single" w:color="E2E8F0" w:sz="4"/>
              <w:right w:val="single" w:color="E2E8F0" w:sz="4"/>
            </w:tcBorders>
            <w:shd w:fill="FFFFFF" w:val="clear"/>
            <w:tcMar>
              <w:top w:type="dxa" w:w="70"/>
              <w:left w:type="dxa" w:w="130"/>
              <w:bottom w:type="dxa" w:w="70"/>
              <w:right w:type="dxa" w:w="130"/>
            </w:tcMar>
            <w:vAlign w:val="center"/>
          </w:tcPr>
          <w:p>
            <w:pPr>
              <w:jc w:val="left"/>
            </w:pPr>
            <w:r>
              <w:rPr>
                <w:b w:val="false"/>
                <w:bCs w:val="false"/>
                <w:color w:val="1E293B"/>
                <w:sz w:val="20"/>
                <w:szCs w:val="20"/>
              </w:rPr>
              <w:t xml:space="preserve">Medium — revenue partner</w:t>
            </w:r>
          </w:p>
        </w:tc>
      </w:tr>
      <w:tr>
        <w:tc>
          <w:tcPr>
            <w:tcW w:type="dxa" w:w="2400"/>
            <w:tcBorders>
              <w:top w:val="single" w:color="E2E8F0" w:sz="4"/>
              <w:left w:val="single" w:color="E2E8F0" w:sz="4"/>
              <w:bottom w:val="single" w:color="E2E8F0" w:sz="4"/>
              <w:right w:val="single" w:color="E2E8F0" w:sz="4"/>
            </w:tcBorders>
            <w:shd w:fill="F1F5F9" w:val="clear"/>
            <w:tcMar>
              <w:top w:type="dxa" w:w="70"/>
              <w:left w:type="dxa" w:w="130"/>
              <w:bottom w:type="dxa" w:w="70"/>
              <w:right w:type="dxa" w:w="130"/>
            </w:tcMar>
            <w:vAlign w:val="center"/>
          </w:tcPr>
          <w:p>
            <w:pPr>
              <w:jc w:val="left"/>
            </w:pPr>
            <w:r>
              <w:rPr>
                <w:b/>
                <w:bCs/>
                <w:color w:val="1E293B"/>
                <w:sz w:val="20"/>
                <w:szCs w:val="20"/>
              </w:rPr>
              <w:t xml:space="preserve">Platform owner / business</w:t>
            </w:r>
          </w:p>
        </w:tc>
        <w:tc>
          <w:tcPr>
            <w:tcW w:type="dxa" w:w="3480"/>
            <w:tcBorders>
              <w:top w:val="single" w:color="E2E8F0" w:sz="4"/>
              <w:left w:val="single" w:color="E2E8F0" w:sz="4"/>
              <w:bottom w:val="single" w:color="E2E8F0" w:sz="4"/>
              <w:right w:val="single" w:color="E2E8F0" w:sz="4"/>
            </w:tcBorders>
            <w:shd w:fill="F1F5F9" w:val="clear"/>
            <w:tcMar>
              <w:top w:type="dxa" w:w="70"/>
              <w:left w:type="dxa" w:w="130"/>
              <w:bottom w:type="dxa" w:w="70"/>
              <w:right w:type="dxa" w:w="130"/>
            </w:tcMar>
            <w:vAlign w:val="center"/>
          </w:tcPr>
          <w:p>
            <w:pPr>
              <w:jc w:val="left"/>
            </w:pPr>
            <w:r>
              <w:rPr>
                <w:b w:val="false"/>
                <w:bCs w:val="false"/>
                <w:color w:val="1E293B"/>
                <w:sz w:val="20"/>
                <w:szCs w:val="20"/>
              </w:rPr>
              <w:t xml:space="preserve">Growth, monetization, data asset</w:t>
            </w:r>
          </w:p>
        </w:tc>
        <w:tc>
          <w:tcPr>
            <w:tcW w:type="dxa" w:w="3480"/>
            <w:tcBorders>
              <w:top w:val="single" w:color="E2E8F0" w:sz="4"/>
              <w:left w:val="single" w:color="E2E8F0" w:sz="4"/>
              <w:bottom w:val="single" w:color="E2E8F0" w:sz="4"/>
              <w:right w:val="single" w:color="E2E8F0" w:sz="4"/>
            </w:tcBorders>
            <w:shd w:fill="F1F5F9" w:val="clear"/>
            <w:tcMar>
              <w:top w:type="dxa" w:w="70"/>
              <w:left w:type="dxa" w:w="130"/>
              <w:bottom w:type="dxa" w:w="70"/>
              <w:right w:type="dxa" w:w="130"/>
            </w:tcMar>
            <w:vAlign w:val="center"/>
          </w:tcPr>
          <w:p>
            <w:pPr>
              <w:jc w:val="left"/>
            </w:pPr>
            <w:r>
              <w:rPr>
                <w:b w:val="false"/>
                <w:bCs w:val="false"/>
                <w:color w:val="1E293B"/>
                <w:sz w:val="20"/>
                <w:szCs w:val="20"/>
              </w:rPr>
              <w:t xml:space="preserve">High — sponsor</w:t>
            </w:r>
          </w:p>
        </w:tc>
      </w:tr>
      <w:tr>
        <w:tc>
          <w:tcPr>
            <w:tcW w:type="dxa" w:w="2400"/>
            <w:tcBorders>
              <w:top w:val="single" w:color="E2E8F0" w:sz="4"/>
              <w:left w:val="single" w:color="E2E8F0" w:sz="4"/>
              <w:bottom w:val="single" w:color="E2E8F0" w:sz="4"/>
              <w:right w:val="single" w:color="E2E8F0" w:sz="4"/>
            </w:tcBorders>
            <w:shd w:fill="FFFFFF" w:val="clear"/>
            <w:tcMar>
              <w:top w:type="dxa" w:w="70"/>
              <w:left w:type="dxa" w:w="130"/>
              <w:bottom w:type="dxa" w:w="70"/>
              <w:right w:type="dxa" w:w="130"/>
            </w:tcMar>
            <w:vAlign w:val="center"/>
          </w:tcPr>
          <w:p>
            <w:pPr>
              <w:jc w:val="left"/>
            </w:pPr>
            <w:r>
              <w:rPr>
                <w:b/>
                <w:bCs/>
                <w:color w:val="1E293B"/>
                <w:sz w:val="20"/>
                <w:szCs w:val="20"/>
              </w:rPr>
              <w:t xml:space="preserve">Product &amp; engineering team</w:t>
            </w:r>
          </w:p>
        </w:tc>
        <w:tc>
          <w:tcPr>
            <w:tcW w:type="dxa" w:w="3480"/>
            <w:tcBorders>
              <w:top w:val="single" w:color="E2E8F0" w:sz="4"/>
              <w:left w:val="single" w:color="E2E8F0" w:sz="4"/>
              <w:bottom w:val="single" w:color="E2E8F0" w:sz="4"/>
              <w:right w:val="single" w:color="E2E8F0" w:sz="4"/>
            </w:tcBorders>
            <w:shd w:fill="FFFFFF" w:val="clear"/>
            <w:tcMar>
              <w:top w:type="dxa" w:w="70"/>
              <w:left w:type="dxa" w:w="130"/>
              <w:bottom w:type="dxa" w:w="70"/>
              <w:right w:type="dxa" w:w="130"/>
            </w:tcMar>
            <w:vAlign w:val="center"/>
          </w:tcPr>
          <w:p>
            <w:pPr>
              <w:jc w:val="left"/>
            </w:pPr>
            <w:r>
              <w:rPr>
                <w:b w:val="false"/>
                <w:bCs w:val="false"/>
                <w:color w:val="1E293B"/>
                <w:sz w:val="20"/>
                <w:szCs w:val="20"/>
              </w:rPr>
              <w:t xml:space="preserve">Deliver a reliable, scalable platform</w:t>
            </w:r>
          </w:p>
        </w:tc>
        <w:tc>
          <w:tcPr>
            <w:tcW w:type="dxa" w:w="3480"/>
            <w:tcBorders>
              <w:top w:val="single" w:color="E2E8F0" w:sz="4"/>
              <w:left w:val="single" w:color="E2E8F0" w:sz="4"/>
              <w:bottom w:val="single" w:color="E2E8F0" w:sz="4"/>
              <w:right w:val="single" w:color="E2E8F0" w:sz="4"/>
            </w:tcBorders>
            <w:shd w:fill="FFFFFF" w:val="clear"/>
            <w:tcMar>
              <w:top w:type="dxa" w:w="70"/>
              <w:left w:type="dxa" w:w="130"/>
              <w:bottom w:type="dxa" w:w="70"/>
              <w:right w:type="dxa" w:w="130"/>
            </w:tcMar>
            <w:vAlign w:val="center"/>
          </w:tcPr>
          <w:p>
            <w:pPr>
              <w:jc w:val="left"/>
            </w:pPr>
            <w:r>
              <w:rPr>
                <w:b w:val="false"/>
                <w:bCs w:val="false"/>
                <w:color w:val="1E293B"/>
                <w:sz w:val="20"/>
                <w:szCs w:val="20"/>
              </w:rPr>
              <w:t xml:space="preserve">High — execution</w:t>
            </w:r>
          </w:p>
        </w:tc>
      </w:tr>
      <w:tr>
        <w:tc>
          <w:tcPr>
            <w:tcW w:type="dxa" w:w="2400"/>
            <w:tcBorders>
              <w:top w:val="single" w:color="E2E8F0" w:sz="4"/>
              <w:left w:val="single" w:color="E2E8F0" w:sz="4"/>
              <w:bottom w:val="single" w:color="E2E8F0" w:sz="4"/>
              <w:right w:val="single" w:color="E2E8F0" w:sz="4"/>
            </w:tcBorders>
            <w:shd w:fill="F1F5F9" w:val="clear"/>
            <w:tcMar>
              <w:top w:type="dxa" w:w="70"/>
              <w:left w:type="dxa" w:w="130"/>
              <w:bottom w:type="dxa" w:w="70"/>
              <w:right w:type="dxa" w:w="130"/>
            </w:tcMar>
            <w:vAlign w:val="center"/>
          </w:tcPr>
          <w:p>
            <w:pPr>
              <w:jc w:val="left"/>
            </w:pPr>
            <w:r>
              <w:rPr>
                <w:b/>
                <w:bCs/>
                <w:color w:val="1E293B"/>
                <w:sz w:val="20"/>
                <w:szCs w:val="20"/>
              </w:rPr>
              <w:t xml:space="preserve">Platform admins</w:t>
            </w:r>
          </w:p>
        </w:tc>
        <w:tc>
          <w:tcPr>
            <w:tcW w:type="dxa" w:w="3480"/>
            <w:tcBorders>
              <w:top w:val="single" w:color="E2E8F0" w:sz="4"/>
              <w:left w:val="single" w:color="E2E8F0" w:sz="4"/>
              <w:bottom w:val="single" w:color="E2E8F0" w:sz="4"/>
              <w:right w:val="single" w:color="E2E8F0" w:sz="4"/>
            </w:tcBorders>
            <w:shd w:fill="F1F5F9" w:val="clear"/>
            <w:tcMar>
              <w:top w:type="dxa" w:w="70"/>
              <w:left w:type="dxa" w:w="130"/>
              <w:bottom w:type="dxa" w:w="70"/>
              <w:right w:type="dxa" w:w="130"/>
            </w:tcMar>
            <w:vAlign w:val="center"/>
          </w:tcPr>
          <w:p>
            <w:pPr>
              <w:jc w:val="left"/>
            </w:pPr>
            <w:r>
              <w:rPr>
                <w:b w:val="false"/>
                <w:bCs w:val="false"/>
                <w:color w:val="1E293B"/>
                <w:sz w:val="20"/>
                <w:szCs w:val="20"/>
              </w:rPr>
              <w:t xml:space="preserve">Moderate content, manage partners</w:t>
            </w:r>
          </w:p>
        </w:tc>
        <w:tc>
          <w:tcPr>
            <w:tcW w:type="dxa" w:w="3480"/>
            <w:tcBorders>
              <w:top w:val="single" w:color="E2E8F0" w:sz="4"/>
              <w:left w:val="single" w:color="E2E8F0" w:sz="4"/>
              <w:bottom w:val="single" w:color="E2E8F0" w:sz="4"/>
              <w:right w:val="single" w:color="E2E8F0" w:sz="4"/>
            </w:tcBorders>
            <w:shd w:fill="F1F5F9" w:val="clear"/>
            <w:tcMar>
              <w:top w:type="dxa" w:w="70"/>
              <w:left w:type="dxa" w:w="130"/>
              <w:bottom w:type="dxa" w:w="70"/>
              <w:right w:type="dxa" w:w="130"/>
            </w:tcMar>
            <w:vAlign w:val="center"/>
          </w:tcPr>
          <w:p>
            <w:pPr>
              <w:jc w:val="left"/>
            </w:pPr>
            <w:r>
              <w:rPr>
                <w:b w:val="false"/>
                <w:bCs w:val="false"/>
                <w:color w:val="1E293B"/>
                <w:sz w:val="20"/>
                <w:szCs w:val="20"/>
              </w:rPr>
              <w:t xml:space="preserve">Medium — operations</w:t>
            </w:r>
          </w:p>
        </w:tc>
      </w:tr>
    </w:tbl>
    <w:p>
      <w:pPr>
        <w:pStyle w:val="Heading1"/>
      </w:pPr>
      <w:r>
        <w:t xml:space="preserve">6. Account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tblHeader/>
        </w:trPr>
        <w:tc>
          <w:tcPr>
            <w:tcW w:type="dxa" w:w="2200"/>
            <w:tcBorders>
              <w:top w:val="single" w:color="E2E8F0" w:sz="4"/>
              <w:left w:val="single" w:color="E2E8F0" w:sz="4"/>
              <w:bottom w:val="single" w:color="E2E8F0" w:sz="4"/>
              <w:right w:val="single" w:color="E2E8F0" w:sz="4"/>
            </w:tcBorders>
            <w:shd w:fill="0B1220" w:val="clear"/>
            <w:tcMar>
              <w:top w:type="dxa" w:w="70"/>
              <w:left w:type="dxa" w:w="130"/>
              <w:bottom w:type="dxa" w:w="70"/>
              <w:right w:type="dxa" w:w="130"/>
            </w:tcMar>
            <w:vAlign w:val="center"/>
          </w:tcPr>
          <w:p>
            <w:pPr>
              <w:jc w:val="left"/>
            </w:pPr>
            <w:r>
              <w:rPr>
                <w:b/>
                <w:bCs/>
                <w:color w:val="FFFFFF"/>
                <w:sz w:val="20"/>
                <w:szCs w:val="20"/>
              </w:rPr>
              <w:t xml:space="preserve">Account Type</w:t>
            </w:r>
          </w:p>
        </w:tc>
        <w:tc>
          <w:tcPr>
            <w:tcW w:type="dxa" w:w="5160"/>
            <w:tcBorders>
              <w:top w:val="single" w:color="E2E8F0" w:sz="4"/>
              <w:left w:val="single" w:color="E2E8F0" w:sz="4"/>
              <w:bottom w:val="single" w:color="E2E8F0" w:sz="4"/>
              <w:right w:val="single" w:color="E2E8F0" w:sz="4"/>
            </w:tcBorders>
            <w:shd w:fill="0B1220" w:val="clear"/>
            <w:tcMar>
              <w:top w:type="dxa" w:w="70"/>
              <w:left w:type="dxa" w:w="130"/>
              <w:bottom w:type="dxa" w:w="70"/>
              <w:right w:type="dxa" w:w="130"/>
            </w:tcMar>
            <w:vAlign w:val="center"/>
          </w:tcPr>
          <w:p>
            <w:pPr>
              <w:jc w:val="left"/>
            </w:pPr>
            <w:r>
              <w:rPr>
                <w:b/>
                <w:bCs/>
                <w:color w:val="FFFFFF"/>
                <w:sz w:val="20"/>
                <w:szCs w:val="20"/>
              </w:rPr>
              <w:t xml:space="preserve">Description</w:t>
            </w:r>
          </w:p>
        </w:tc>
        <w:tc>
          <w:tcPr>
            <w:tcW w:type="dxa" w:w="2000"/>
            <w:tcBorders>
              <w:top w:val="single" w:color="E2E8F0" w:sz="4"/>
              <w:left w:val="single" w:color="E2E8F0" w:sz="4"/>
              <w:bottom w:val="single" w:color="E2E8F0" w:sz="4"/>
              <w:right w:val="single" w:color="E2E8F0" w:sz="4"/>
            </w:tcBorders>
            <w:shd w:fill="0B1220" w:val="clear"/>
            <w:tcMar>
              <w:top w:type="dxa" w:w="70"/>
              <w:left w:type="dxa" w:w="130"/>
              <w:bottom w:type="dxa" w:w="70"/>
              <w:right w:type="dxa" w:w="130"/>
            </w:tcMar>
            <w:vAlign w:val="center"/>
          </w:tcPr>
          <w:p>
            <w:pPr>
              <w:jc w:val="left"/>
            </w:pPr>
            <w:r>
              <w:rPr>
                <w:b/>
                <w:bCs/>
                <w:color w:val="FFFFFF"/>
                <w:sz w:val="20"/>
                <w:szCs w:val="20"/>
              </w:rPr>
              <w:t xml:space="preserve">Channel</w:t>
            </w:r>
          </w:p>
        </w:tc>
      </w:tr>
      <w:tr>
        <w:tc>
          <w:tcPr>
            <w:tcW w:type="dxa" w:w="2200"/>
            <w:tcBorders>
              <w:top w:val="single" w:color="E2E8F0" w:sz="4"/>
              <w:left w:val="single" w:color="E2E8F0" w:sz="4"/>
              <w:bottom w:val="single" w:color="E2E8F0" w:sz="4"/>
              <w:right w:val="single" w:color="E2E8F0" w:sz="4"/>
            </w:tcBorders>
            <w:shd w:fill="FFFFFF" w:val="clear"/>
            <w:tcMar>
              <w:top w:type="dxa" w:w="70"/>
              <w:left w:type="dxa" w:w="130"/>
              <w:bottom w:type="dxa" w:w="70"/>
              <w:right w:type="dxa" w:w="130"/>
            </w:tcMar>
            <w:vAlign w:val="center"/>
          </w:tcPr>
          <w:p>
            <w:pPr>
              <w:jc w:val="left"/>
            </w:pPr>
            <w:r>
              <w:rPr>
                <w:b/>
                <w:bCs/>
                <w:color w:val="1E293B"/>
                <w:sz w:val="20"/>
                <w:szCs w:val="20"/>
              </w:rPr>
              <w:t xml:space="preserve">Personal</w:t>
            </w:r>
          </w:p>
        </w:tc>
        <w:tc>
          <w:tcPr>
            <w:tcW w:type="dxa" w:w="5160"/>
            <w:tcBorders>
              <w:top w:val="single" w:color="E2E8F0" w:sz="4"/>
              <w:left w:val="single" w:color="E2E8F0" w:sz="4"/>
              <w:bottom w:val="single" w:color="E2E8F0" w:sz="4"/>
              <w:right w:val="single" w:color="E2E8F0" w:sz="4"/>
            </w:tcBorders>
            <w:shd w:fill="FFFFFF" w:val="clear"/>
            <w:tcMar>
              <w:top w:type="dxa" w:w="70"/>
              <w:left w:type="dxa" w:w="130"/>
              <w:bottom w:type="dxa" w:w="70"/>
              <w:right w:type="dxa" w:w="130"/>
            </w:tcMar>
            <w:vAlign w:val="center"/>
          </w:tcPr>
          <w:p>
            <w:pPr>
              <w:jc w:val="left"/>
            </w:pPr>
            <w:r>
              <w:rPr>
                <w:b w:val="false"/>
                <w:bCs w:val="false"/>
                <w:color w:val="1E293B"/>
                <w:sz w:val="20"/>
                <w:szCs w:val="20"/>
              </w:rPr>
              <w:t xml:space="preserve">Standard consumer — lists, shopping, contributions</w:t>
            </w:r>
          </w:p>
        </w:tc>
        <w:tc>
          <w:tcPr>
            <w:tcW w:type="dxa" w:w="2000"/>
            <w:tcBorders>
              <w:top w:val="single" w:color="E2E8F0" w:sz="4"/>
              <w:left w:val="single" w:color="E2E8F0" w:sz="4"/>
              <w:bottom w:val="single" w:color="E2E8F0" w:sz="4"/>
              <w:right w:val="single" w:color="E2E8F0" w:sz="4"/>
            </w:tcBorders>
            <w:shd w:fill="FFFFFF" w:val="clear"/>
            <w:tcMar>
              <w:top w:type="dxa" w:w="70"/>
              <w:left w:type="dxa" w:w="130"/>
              <w:bottom w:type="dxa" w:w="70"/>
              <w:right w:type="dxa" w:w="130"/>
            </w:tcMar>
            <w:vAlign w:val="center"/>
          </w:tcPr>
          <w:p>
            <w:pPr>
              <w:jc w:val="left"/>
            </w:pPr>
            <w:r>
              <w:rPr>
                <w:b w:val="false"/>
                <w:bCs w:val="false"/>
                <w:color w:val="1E293B"/>
                <w:sz w:val="20"/>
                <w:szCs w:val="20"/>
              </w:rPr>
              <w:t xml:space="preserve">Mobile</w:t>
            </w:r>
          </w:p>
        </w:tc>
      </w:tr>
      <w:tr>
        <w:tc>
          <w:tcPr>
            <w:tcW w:type="dxa" w:w="2200"/>
            <w:tcBorders>
              <w:top w:val="single" w:color="E2E8F0" w:sz="4"/>
              <w:left w:val="single" w:color="E2E8F0" w:sz="4"/>
              <w:bottom w:val="single" w:color="E2E8F0" w:sz="4"/>
              <w:right w:val="single" w:color="E2E8F0" w:sz="4"/>
            </w:tcBorders>
            <w:shd w:fill="F1F5F9" w:val="clear"/>
            <w:tcMar>
              <w:top w:type="dxa" w:w="70"/>
              <w:left w:type="dxa" w:w="130"/>
              <w:bottom w:type="dxa" w:w="70"/>
              <w:right w:type="dxa" w:w="130"/>
            </w:tcMar>
            <w:vAlign w:val="center"/>
          </w:tcPr>
          <w:p>
            <w:pPr>
              <w:jc w:val="left"/>
            </w:pPr>
            <w:r>
              <w:rPr>
                <w:b/>
                <w:bCs/>
                <w:color w:val="1E293B"/>
                <w:sz w:val="20"/>
                <w:szCs w:val="20"/>
              </w:rPr>
              <w:t xml:space="preserve">Professional</w:t>
            </w:r>
          </w:p>
        </w:tc>
        <w:tc>
          <w:tcPr>
            <w:tcW w:type="dxa" w:w="5160"/>
            <w:tcBorders>
              <w:top w:val="single" w:color="E2E8F0" w:sz="4"/>
              <w:left w:val="single" w:color="E2E8F0" w:sz="4"/>
              <w:bottom w:val="single" w:color="E2E8F0" w:sz="4"/>
              <w:right w:val="single" w:color="E2E8F0" w:sz="4"/>
            </w:tcBorders>
            <w:shd w:fill="F1F5F9" w:val="clear"/>
            <w:tcMar>
              <w:top w:type="dxa" w:w="70"/>
              <w:left w:type="dxa" w:w="130"/>
              <w:bottom w:type="dxa" w:w="70"/>
              <w:right w:type="dxa" w:w="130"/>
            </w:tcMar>
            <w:vAlign w:val="center"/>
          </w:tcPr>
          <w:p>
            <w:pPr>
              <w:jc w:val="left"/>
            </w:pPr>
            <w:r>
              <w:rPr>
                <w:b w:val="false"/>
                <w:bCs w:val="false"/>
                <w:color w:val="1E293B"/>
                <w:sz w:val="20"/>
                <w:szCs w:val="20"/>
              </w:rPr>
              <w:t xml:space="preserve">Caterers, chefs, organizers — scaling, publishing</w:t>
            </w:r>
          </w:p>
        </w:tc>
        <w:tc>
          <w:tcPr>
            <w:tcW w:type="dxa" w:w="2000"/>
            <w:tcBorders>
              <w:top w:val="single" w:color="E2E8F0" w:sz="4"/>
              <w:left w:val="single" w:color="E2E8F0" w:sz="4"/>
              <w:bottom w:val="single" w:color="E2E8F0" w:sz="4"/>
              <w:right w:val="single" w:color="E2E8F0" w:sz="4"/>
            </w:tcBorders>
            <w:shd w:fill="F1F5F9" w:val="clear"/>
            <w:tcMar>
              <w:top w:type="dxa" w:w="70"/>
              <w:left w:type="dxa" w:w="130"/>
              <w:bottom w:type="dxa" w:w="70"/>
              <w:right w:type="dxa" w:w="130"/>
            </w:tcMar>
            <w:vAlign w:val="center"/>
          </w:tcPr>
          <w:p>
            <w:pPr>
              <w:jc w:val="left"/>
            </w:pPr>
            <w:r>
              <w:rPr>
                <w:b w:val="false"/>
                <w:bCs w:val="false"/>
                <w:color w:val="1E293B"/>
                <w:sz w:val="20"/>
                <w:szCs w:val="20"/>
              </w:rPr>
              <w:t xml:space="preserve">Mobile</w:t>
            </w:r>
          </w:p>
        </w:tc>
      </w:tr>
      <w:tr>
        <w:tc>
          <w:tcPr>
            <w:tcW w:type="dxa" w:w="2200"/>
            <w:tcBorders>
              <w:top w:val="single" w:color="E2E8F0" w:sz="4"/>
              <w:left w:val="single" w:color="E2E8F0" w:sz="4"/>
              <w:bottom w:val="single" w:color="E2E8F0" w:sz="4"/>
              <w:right w:val="single" w:color="E2E8F0" w:sz="4"/>
            </w:tcBorders>
            <w:shd w:fill="FFFFFF" w:val="clear"/>
            <w:tcMar>
              <w:top w:type="dxa" w:w="70"/>
              <w:left w:type="dxa" w:w="130"/>
              <w:bottom w:type="dxa" w:w="70"/>
              <w:right w:type="dxa" w:w="130"/>
            </w:tcMar>
            <w:vAlign w:val="center"/>
          </w:tcPr>
          <w:p>
            <w:pPr>
              <w:jc w:val="left"/>
            </w:pPr>
            <w:r>
              <w:rPr>
                <w:b/>
                <w:bCs/>
                <w:color w:val="1E293B"/>
                <w:sz w:val="20"/>
                <w:szCs w:val="20"/>
              </w:rPr>
              <w:t xml:space="preserve">Store / Brand</w:t>
            </w:r>
          </w:p>
        </w:tc>
        <w:tc>
          <w:tcPr>
            <w:tcW w:type="dxa" w:w="5160"/>
            <w:tcBorders>
              <w:top w:val="single" w:color="E2E8F0" w:sz="4"/>
              <w:left w:val="single" w:color="E2E8F0" w:sz="4"/>
              <w:bottom w:val="single" w:color="E2E8F0" w:sz="4"/>
              <w:right w:val="single" w:color="E2E8F0" w:sz="4"/>
            </w:tcBorders>
            <w:shd w:fill="FFFFFF" w:val="clear"/>
            <w:tcMar>
              <w:top w:type="dxa" w:w="70"/>
              <w:left w:type="dxa" w:w="130"/>
              <w:bottom w:type="dxa" w:w="70"/>
              <w:right w:type="dxa" w:w="130"/>
            </w:tcMar>
            <w:vAlign w:val="center"/>
          </w:tcPr>
          <w:p>
            <w:pPr>
              <w:jc w:val="left"/>
            </w:pPr>
            <w:r>
              <w:rPr>
                <w:b w:val="false"/>
                <w:bCs w:val="false"/>
                <w:color w:val="1E293B"/>
                <w:sz w:val="20"/>
                <w:szCs w:val="20"/>
              </w:rPr>
              <w:t xml:space="preserve">Promotions and aggregate analytics</w:t>
            </w:r>
          </w:p>
        </w:tc>
        <w:tc>
          <w:tcPr>
            <w:tcW w:type="dxa" w:w="2000"/>
            <w:tcBorders>
              <w:top w:val="single" w:color="E2E8F0" w:sz="4"/>
              <w:left w:val="single" w:color="E2E8F0" w:sz="4"/>
              <w:bottom w:val="single" w:color="E2E8F0" w:sz="4"/>
              <w:right w:val="single" w:color="E2E8F0" w:sz="4"/>
            </w:tcBorders>
            <w:shd w:fill="FFFFFF" w:val="clear"/>
            <w:tcMar>
              <w:top w:type="dxa" w:w="70"/>
              <w:left w:type="dxa" w:w="130"/>
              <w:bottom w:type="dxa" w:w="70"/>
              <w:right w:type="dxa" w:w="130"/>
            </w:tcMar>
            <w:vAlign w:val="center"/>
          </w:tcPr>
          <w:p>
            <w:pPr>
              <w:jc w:val="left"/>
            </w:pPr>
            <w:r>
              <w:rPr>
                <w:b w:val="false"/>
                <w:bCs w:val="false"/>
                <w:color w:val="1E293B"/>
                <w:sz w:val="20"/>
                <w:szCs w:val="20"/>
              </w:rPr>
              <w:t xml:space="preserve">Mobile + Web</w:t>
            </w:r>
          </w:p>
        </w:tc>
      </w:tr>
      <w:tr>
        <w:tc>
          <w:tcPr>
            <w:tcW w:type="dxa" w:w="2200"/>
            <w:tcBorders>
              <w:top w:val="single" w:color="E2E8F0" w:sz="4"/>
              <w:left w:val="single" w:color="E2E8F0" w:sz="4"/>
              <w:bottom w:val="single" w:color="E2E8F0" w:sz="4"/>
              <w:right w:val="single" w:color="E2E8F0" w:sz="4"/>
            </w:tcBorders>
            <w:shd w:fill="F1F5F9" w:val="clear"/>
            <w:tcMar>
              <w:top w:type="dxa" w:w="70"/>
              <w:left w:type="dxa" w:w="130"/>
              <w:bottom w:type="dxa" w:w="70"/>
              <w:right w:type="dxa" w:w="130"/>
            </w:tcMar>
            <w:vAlign w:val="center"/>
          </w:tcPr>
          <w:p>
            <w:pPr>
              <w:jc w:val="left"/>
            </w:pPr>
            <w:r>
              <w:rPr>
                <w:b/>
                <w:bCs/>
                <w:color w:val="1E293B"/>
                <w:sz w:val="20"/>
                <w:szCs w:val="20"/>
              </w:rPr>
              <w:t xml:space="preserve">Admin</w:t>
            </w:r>
          </w:p>
        </w:tc>
        <w:tc>
          <w:tcPr>
            <w:tcW w:type="dxa" w:w="5160"/>
            <w:tcBorders>
              <w:top w:val="single" w:color="E2E8F0" w:sz="4"/>
              <w:left w:val="single" w:color="E2E8F0" w:sz="4"/>
              <w:bottom w:val="single" w:color="E2E8F0" w:sz="4"/>
              <w:right w:val="single" w:color="E2E8F0" w:sz="4"/>
            </w:tcBorders>
            <w:shd w:fill="F1F5F9" w:val="clear"/>
            <w:tcMar>
              <w:top w:type="dxa" w:w="70"/>
              <w:left w:type="dxa" w:w="130"/>
              <w:bottom w:type="dxa" w:w="70"/>
              <w:right w:type="dxa" w:w="130"/>
            </w:tcMar>
            <w:vAlign w:val="center"/>
          </w:tcPr>
          <w:p>
            <w:pPr>
              <w:jc w:val="left"/>
            </w:pPr>
            <w:r>
              <w:rPr>
                <w:b w:val="false"/>
                <w:bCs w:val="false"/>
                <w:color w:val="1E293B"/>
                <w:sz w:val="20"/>
                <w:szCs w:val="20"/>
              </w:rPr>
              <w:t xml:space="preserve">Platform administration and moderation</w:t>
            </w:r>
          </w:p>
        </w:tc>
        <w:tc>
          <w:tcPr>
            <w:tcW w:type="dxa" w:w="2000"/>
            <w:tcBorders>
              <w:top w:val="single" w:color="E2E8F0" w:sz="4"/>
              <w:left w:val="single" w:color="E2E8F0" w:sz="4"/>
              <w:bottom w:val="single" w:color="E2E8F0" w:sz="4"/>
              <w:right w:val="single" w:color="E2E8F0" w:sz="4"/>
            </w:tcBorders>
            <w:shd w:fill="F1F5F9" w:val="clear"/>
            <w:tcMar>
              <w:top w:type="dxa" w:w="70"/>
              <w:left w:type="dxa" w:w="130"/>
              <w:bottom w:type="dxa" w:w="70"/>
              <w:right w:type="dxa" w:w="130"/>
            </w:tcMar>
            <w:vAlign w:val="center"/>
          </w:tcPr>
          <w:p>
            <w:pPr>
              <w:jc w:val="left"/>
            </w:pPr>
            <w:r>
              <w:rPr>
                <w:b w:val="false"/>
                <w:bCs w:val="false"/>
                <w:color w:val="1E293B"/>
                <w:sz w:val="20"/>
                <w:szCs w:val="20"/>
              </w:rPr>
              <w:t xml:space="preserve">Web only</w:t>
            </w:r>
          </w:p>
        </w:tc>
      </w:tr>
    </w:tbl>
    <w:p>
      <w:pPr>
        <w:pStyle w:val="Heading1"/>
      </w:pPr>
      <w:r>
        <w:t xml:space="preserve">7. High-Level Requirements</w:t>
      </w:r>
    </w:p>
    <w:p>
      <w:pPr>
        <w:spacing w:after="120" w:line="276"/>
      </w:pPr>
      <w:r>
        <w:rPr>
          <w:i/>
          <w:iCs/>
          <w:color w:val="475569"/>
        </w:rPr>
        <w:t xml:space="preserve">The following capabilities are required at a business level; detailed functional requirements appear in the Software Requirements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E2E8F0" w:sz="4"/>
              <w:left w:val="single" w:color="E2E8F0" w:sz="4"/>
              <w:bottom w:val="single" w:color="E2E8F0" w:sz="4"/>
              <w:right w:val="single" w:color="E2E8F0" w:sz="4"/>
            </w:tcBorders>
            <w:shd w:fill="0B1220" w:val="clear"/>
            <w:tcMar>
              <w:top w:type="dxa" w:w="70"/>
              <w:left w:type="dxa" w:w="130"/>
              <w:bottom w:type="dxa" w:w="70"/>
              <w:right w:type="dxa" w:w="130"/>
            </w:tcMar>
            <w:vAlign w:val="center"/>
          </w:tcPr>
          <w:p>
            <w:pPr>
              <w:jc w:val="left"/>
            </w:pPr>
            <w:r>
              <w:rPr>
                <w:b/>
                <w:bCs/>
                <w:color w:val="FFFFFF"/>
                <w:sz w:val="20"/>
                <w:szCs w:val="20"/>
              </w:rPr>
              <w:t xml:space="preserve">ID</w:t>
            </w:r>
          </w:p>
        </w:tc>
        <w:tc>
          <w:tcPr>
            <w:tcW w:type="dxa" w:w="8260"/>
            <w:tcBorders>
              <w:top w:val="single" w:color="E2E8F0" w:sz="4"/>
              <w:left w:val="single" w:color="E2E8F0" w:sz="4"/>
              <w:bottom w:val="single" w:color="E2E8F0" w:sz="4"/>
              <w:right w:val="single" w:color="E2E8F0" w:sz="4"/>
            </w:tcBorders>
            <w:shd w:fill="0B1220" w:val="clear"/>
            <w:tcMar>
              <w:top w:type="dxa" w:w="70"/>
              <w:left w:type="dxa" w:w="130"/>
              <w:bottom w:type="dxa" w:w="70"/>
              <w:right w:type="dxa" w:w="130"/>
            </w:tcMar>
            <w:vAlign w:val="center"/>
          </w:tcPr>
          <w:p>
            <w:pPr>
              <w:jc w:val="left"/>
            </w:pPr>
            <w:r>
              <w:rPr>
                <w:b/>
                <w:bCs/>
                <w:color w:val="FFFFFF"/>
                <w:sz w:val="20"/>
                <w:szCs w:val="20"/>
              </w:rPr>
              <w:t xml:space="preserve">Requirement</w:t>
            </w:r>
          </w:p>
        </w:tc>
      </w:tr>
      <w:tr>
        <w:tc>
          <w:tcPr>
            <w:tcW w:type="dxa" w:w="1100"/>
            <w:tcBorders>
              <w:top w:val="single" w:color="E2E8F0" w:sz="4"/>
              <w:left w:val="single" w:color="E2E8F0" w:sz="4"/>
              <w:bottom w:val="single" w:color="E2E8F0" w:sz="4"/>
              <w:right w:val="single" w:color="E2E8F0" w:sz="4"/>
            </w:tcBorders>
            <w:shd w:fill="FFFFFF" w:val="clear"/>
            <w:tcMar>
              <w:top w:type="dxa" w:w="70"/>
              <w:left w:type="dxa" w:w="130"/>
              <w:bottom w:type="dxa" w:w="70"/>
              <w:right w:type="dxa" w:w="130"/>
            </w:tcMar>
            <w:vAlign w:val="center"/>
          </w:tcPr>
          <w:p>
            <w:pPr>
              <w:jc w:val="left"/>
            </w:pPr>
            <w:r>
              <w:rPr>
                <w:b/>
                <w:bCs/>
                <w:color w:val="1E293B"/>
                <w:sz w:val="20"/>
                <w:szCs w:val="20"/>
              </w:rPr>
              <w:t xml:space="preserve">BR-1</w:t>
            </w:r>
          </w:p>
        </w:tc>
        <w:tc>
          <w:tcPr>
            <w:tcW w:type="dxa" w:w="8260"/>
            <w:tcBorders>
              <w:top w:val="single" w:color="E2E8F0" w:sz="4"/>
              <w:left w:val="single" w:color="E2E8F0" w:sz="4"/>
              <w:bottom w:val="single" w:color="E2E8F0" w:sz="4"/>
              <w:right w:val="single" w:color="E2E8F0" w:sz="4"/>
            </w:tcBorders>
            <w:shd w:fill="FFFFFF" w:val="clear"/>
            <w:tcMar>
              <w:top w:type="dxa" w:w="70"/>
              <w:left w:type="dxa" w:w="130"/>
              <w:bottom w:type="dxa" w:w="70"/>
              <w:right w:type="dxa" w:w="130"/>
            </w:tcMar>
            <w:vAlign w:val="center"/>
          </w:tcPr>
          <w:p>
            <w:pPr>
              <w:jc w:val="left"/>
            </w:pPr>
            <w:r>
              <w:rPr>
                <w:b w:val="false"/>
                <w:bCs w:val="false"/>
                <w:color w:val="1E293B"/>
                <w:sz w:val="20"/>
                <w:szCs w:val="20"/>
              </w:rPr>
              <w:t xml:space="preserve">Users can create, categorize, share, and reuse shopping lists.</w:t>
            </w:r>
          </w:p>
        </w:tc>
      </w:tr>
      <w:tr>
        <w:tc>
          <w:tcPr>
            <w:tcW w:type="dxa" w:w="1100"/>
            <w:tcBorders>
              <w:top w:val="single" w:color="E2E8F0" w:sz="4"/>
              <w:left w:val="single" w:color="E2E8F0" w:sz="4"/>
              <w:bottom w:val="single" w:color="E2E8F0" w:sz="4"/>
              <w:right w:val="single" w:color="E2E8F0" w:sz="4"/>
            </w:tcBorders>
            <w:shd w:fill="F1F5F9" w:val="clear"/>
            <w:tcMar>
              <w:top w:type="dxa" w:w="70"/>
              <w:left w:type="dxa" w:w="130"/>
              <w:bottom w:type="dxa" w:w="70"/>
              <w:right w:type="dxa" w:w="130"/>
            </w:tcMar>
            <w:vAlign w:val="center"/>
          </w:tcPr>
          <w:p>
            <w:pPr>
              <w:jc w:val="left"/>
            </w:pPr>
            <w:r>
              <w:rPr>
                <w:b/>
                <w:bCs/>
                <w:color w:val="1E293B"/>
                <w:sz w:val="20"/>
                <w:szCs w:val="20"/>
              </w:rPr>
              <w:t xml:space="preserve">BR-2</w:t>
            </w:r>
          </w:p>
        </w:tc>
        <w:tc>
          <w:tcPr>
            <w:tcW w:type="dxa" w:w="8260"/>
            <w:tcBorders>
              <w:top w:val="single" w:color="E2E8F0" w:sz="4"/>
              <w:left w:val="single" w:color="E2E8F0" w:sz="4"/>
              <w:bottom w:val="single" w:color="E2E8F0" w:sz="4"/>
              <w:right w:val="single" w:color="E2E8F0" w:sz="4"/>
            </w:tcBorders>
            <w:shd w:fill="F1F5F9" w:val="clear"/>
            <w:tcMar>
              <w:top w:type="dxa" w:w="70"/>
              <w:left w:type="dxa" w:w="130"/>
              <w:bottom w:type="dxa" w:w="70"/>
              <w:right w:type="dxa" w:w="130"/>
            </w:tcMar>
            <w:vAlign w:val="center"/>
          </w:tcPr>
          <w:p>
            <w:pPr>
              <w:jc w:val="left"/>
            </w:pPr>
            <w:r>
              <w:rPr>
                <w:b w:val="false"/>
                <w:bCs w:val="false"/>
                <w:color w:val="1E293B"/>
                <w:sz w:val="20"/>
                <w:szCs w:val="20"/>
              </w:rPr>
              <w:t xml:space="preserve">Multiple users can edit a shared list simultaneously with changes reflected in real time.</w:t>
            </w:r>
          </w:p>
        </w:tc>
      </w:tr>
      <w:tr>
        <w:tc>
          <w:tcPr>
            <w:tcW w:type="dxa" w:w="1100"/>
            <w:tcBorders>
              <w:top w:val="single" w:color="E2E8F0" w:sz="4"/>
              <w:left w:val="single" w:color="E2E8F0" w:sz="4"/>
              <w:bottom w:val="single" w:color="E2E8F0" w:sz="4"/>
              <w:right w:val="single" w:color="E2E8F0" w:sz="4"/>
            </w:tcBorders>
            <w:shd w:fill="FFFFFF" w:val="clear"/>
            <w:tcMar>
              <w:top w:type="dxa" w:w="70"/>
              <w:left w:type="dxa" w:w="130"/>
              <w:bottom w:type="dxa" w:w="70"/>
              <w:right w:type="dxa" w:w="130"/>
            </w:tcMar>
            <w:vAlign w:val="center"/>
          </w:tcPr>
          <w:p>
            <w:pPr>
              <w:jc w:val="left"/>
            </w:pPr>
            <w:r>
              <w:rPr>
                <w:b/>
                <w:bCs/>
                <w:color w:val="1E293B"/>
                <w:sz w:val="20"/>
                <w:szCs w:val="20"/>
              </w:rPr>
              <w:t xml:space="preserve">BR-3</w:t>
            </w:r>
          </w:p>
        </w:tc>
        <w:tc>
          <w:tcPr>
            <w:tcW w:type="dxa" w:w="8260"/>
            <w:tcBorders>
              <w:top w:val="single" w:color="E2E8F0" w:sz="4"/>
              <w:left w:val="single" w:color="E2E8F0" w:sz="4"/>
              <w:bottom w:val="single" w:color="E2E8F0" w:sz="4"/>
              <w:right w:val="single" w:color="E2E8F0" w:sz="4"/>
            </w:tcBorders>
            <w:shd w:fill="FFFFFF" w:val="clear"/>
            <w:tcMar>
              <w:top w:type="dxa" w:w="70"/>
              <w:left w:type="dxa" w:w="130"/>
              <w:bottom w:type="dxa" w:w="70"/>
              <w:right w:type="dxa" w:w="130"/>
            </w:tcMar>
            <w:vAlign w:val="center"/>
          </w:tcPr>
          <w:p>
            <w:pPr>
              <w:jc w:val="left"/>
            </w:pPr>
            <w:r>
              <w:rPr>
                <w:b w:val="false"/>
                <w:bCs w:val="false"/>
                <w:color w:val="1E293B"/>
                <w:sz w:val="20"/>
                <w:szCs w:val="20"/>
              </w:rPr>
              <w:t xml:space="preserve">The platform compares prices for list items across stores and delivery platforms.</w:t>
            </w:r>
          </w:p>
        </w:tc>
      </w:tr>
      <w:tr>
        <w:tc>
          <w:tcPr>
            <w:tcW w:type="dxa" w:w="1100"/>
            <w:tcBorders>
              <w:top w:val="single" w:color="E2E8F0" w:sz="4"/>
              <w:left w:val="single" w:color="E2E8F0" w:sz="4"/>
              <w:bottom w:val="single" w:color="E2E8F0" w:sz="4"/>
              <w:right w:val="single" w:color="E2E8F0" w:sz="4"/>
            </w:tcBorders>
            <w:shd w:fill="F1F5F9" w:val="clear"/>
            <w:tcMar>
              <w:top w:type="dxa" w:w="70"/>
              <w:left w:type="dxa" w:w="130"/>
              <w:bottom w:type="dxa" w:w="70"/>
              <w:right w:type="dxa" w:w="130"/>
            </w:tcMar>
            <w:vAlign w:val="center"/>
          </w:tcPr>
          <w:p>
            <w:pPr>
              <w:jc w:val="left"/>
            </w:pPr>
            <w:r>
              <w:rPr>
                <w:b/>
                <w:bCs/>
                <w:color w:val="1E293B"/>
                <w:sz w:val="20"/>
                <w:szCs w:val="20"/>
              </w:rPr>
              <w:t xml:space="preserve">BR-4</w:t>
            </w:r>
          </w:p>
        </w:tc>
        <w:tc>
          <w:tcPr>
            <w:tcW w:type="dxa" w:w="8260"/>
            <w:tcBorders>
              <w:top w:val="single" w:color="E2E8F0" w:sz="4"/>
              <w:left w:val="single" w:color="E2E8F0" w:sz="4"/>
              <w:bottom w:val="single" w:color="E2E8F0" w:sz="4"/>
              <w:right w:val="single" w:color="E2E8F0" w:sz="4"/>
            </w:tcBorders>
            <w:shd w:fill="F1F5F9" w:val="clear"/>
            <w:tcMar>
              <w:top w:type="dxa" w:w="70"/>
              <w:left w:type="dxa" w:w="130"/>
              <w:bottom w:type="dxa" w:w="70"/>
              <w:right w:type="dxa" w:w="130"/>
            </w:tcMar>
            <w:vAlign w:val="center"/>
          </w:tcPr>
          <w:p>
            <w:pPr>
              <w:jc w:val="left"/>
            </w:pPr>
            <w:r>
              <w:rPr>
                <w:b w:val="false"/>
                <w:bCs w:val="false"/>
                <w:color w:val="1E293B"/>
                <w:sz w:val="20"/>
                <w:szCs w:val="20"/>
              </w:rPr>
              <w:t xml:space="preserve">Users contribute prices while shopping; contributions are validated and reconciled.</w:t>
            </w:r>
          </w:p>
        </w:tc>
      </w:tr>
      <w:tr>
        <w:tc>
          <w:tcPr>
            <w:tcW w:type="dxa" w:w="1100"/>
            <w:tcBorders>
              <w:top w:val="single" w:color="E2E8F0" w:sz="4"/>
              <w:left w:val="single" w:color="E2E8F0" w:sz="4"/>
              <w:bottom w:val="single" w:color="E2E8F0" w:sz="4"/>
              <w:right w:val="single" w:color="E2E8F0" w:sz="4"/>
            </w:tcBorders>
            <w:shd w:fill="FFFFFF" w:val="clear"/>
            <w:tcMar>
              <w:top w:type="dxa" w:w="70"/>
              <w:left w:type="dxa" w:w="130"/>
              <w:bottom w:type="dxa" w:w="70"/>
              <w:right w:type="dxa" w:w="130"/>
            </w:tcMar>
            <w:vAlign w:val="center"/>
          </w:tcPr>
          <w:p>
            <w:pPr>
              <w:jc w:val="left"/>
            </w:pPr>
            <w:r>
              <w:rPr>
                <w:b/>
                <w:bCs/>
                <w:color w:val="1E293B"/>
                <w:sz w:val="20"/>
                <w:szCs w:val="20"/>
              </w:rPr>
              <w:t xml:space="preserve">BR-5</w:t>
            </w:r>
          </w:p>
        </w:tc>
        <w:tc>
          <w:tcPr>
            <w:tcW w:type="dxa" w:w="8260"/>
            <w:tcBorders>
              <w:top w:val="single" w:color="E2E8F0" w:sz="4"/>
              <w:left w:val="single" w:color="E2E8F0" w:sz="4"/>
              <w:bottom w:val="single" w:color="E2E8F0" w:sz="4"/>
              <w:right w:val="single" w:color="E2E8F0" w:sz="4"/>
            </w:tcBorders>
            <w:shd w:fill="FFFFFF" w:val="clear"/>
            <w:tcMar>
              <w:top w:type="dxa" w:w="70"/>
              <w:left w:type="dxa" w:w="130"/>
              <w:bottom w:type="dxa" w:w="70"/>
              <w:right w:type="dxa" w:w="130"/>
            </w:tcMar>
            <w:vAlign w:val="center"/>
          </w:tcPr>
          <w:p>
            <w:pPr>
              <w:jc w:val="left"/>
            </w:pPr>
            <w:r>
              <w:rPr>
                <w:b w:val="false"/>
                <w:bCs w:val="false"/>
                <w:color w:val="1E293B"/>
                <w:sz w:val="20"/>
                <w:szCs w:val="20"/>
              </w:rPr>
              <w:t xml:space="preserve">Lists remain usable offline and synchronize when connectivity returns.</w:t>
            </w:r>
          </w:p>
        </w:tc>
      </w:tr>
      <w:tr>
        <w:tc>
          <w:tcPr>
            <w:tcW w:type="dxa" w:w="1100"/>
            <w:tcBorders>
              <w:top w:val="single" w:color="E2E8F0" w:sz="4"/>
              <w:left w:val="single" w:color="E2E8F0" w:sz="4"/>
              <w:bottom w:val="single" w:color="E2E8F0" w:sz="4"/>
              <w:right w:val="single" w:color="E2E8F0" w:sz="4"/>
            </w:tcBorders>
            <w:shd w:fill="F1F5F9" w:val="clear"/>
            <w:tcMar>
              <w:top w:type="dxa" w:w="70"/>
              <w:left w:type="dxa" w:w="130"/>
              <w:bottom w:type="dxa" w:w="70"/>
              <w:right w:type="dxa" w:w="130"/>
            </w:tcMar>
            <w:vAlign w:val="center"/>
          </w:tcPr>
          <w:p>
            <w:pPr>
              <w:jc w:val="left"/>
            </w:pPr>
            <w:r>
              <w:rPr>
                <w:b/>
                <w:bCs/>
                <w:color w:val="1E293B"/>
                <w:sz w:val="20"/>
                <w:szCs w:val="20"/>
              </w:rPr>
              <w:t xml:space="preserve">BR-6</w:t>
            </w:r>
          </w:p>
        </w:tc>
        <w:tc>
          <w:tcPr>
            <w:tcW w:type="dxa" w:w="8260"/>
            <w:tcBorders>
              <w:top w:val="single" w:color="E2E8F0" w:sz="4"/>
              <w:left w:val="single" w:color="E2E8F0" w:sz="4"/>
              <w:bottom w:val="single" w:color="E2E8F0" w:sz="4"/>
              <w:right w:val="single" w:color="E2E8F0" w:sz="4"/>
            </w:tcBorders>
            <w:shd w:fill="F1F5F9" w:val="clear"/>
            <w:tcMar>
              <w:top w:type="dxa" w:w="70"/>
              <w:left w:type="dxa" w:w="130"/>
              <w:bottom w:type="dxa" w:w="70"/>
              <w:right w:type="dxa" w:w="130"/>
            </w:tcMar>
            <w:vAlign w:val="center"/>
          </w:tcPr>
          <w:p>
            <w:pPr>
              <w:jc w:val="left"/>
            </w:pPr>
            <w:r>
              <w:rPr>
                <w:b w:val="false"/>
                <w:bCs w:val="false"/>
                <w:color w:val="1E293B"/>
                <w:sz w:val="20"/>
                <w:szCs w:val="20"/>
              </w:rPr>
              <w:t xml:space="preserve">Professional users can scale lists by guest count and publish lists publicly.</w:t>
            </w:r>
          </w:p>
        </w:tc>
      </w:tr>
      <w:tr>
        <w:tc>
          <w:tcPr>
            <w:tcW w:type="dxa" w:w="1100"/>
            <w:tcBorders>
              <w:top w:val="single" w:color="E2E8F0" w:sz="4"/>
              <w:left w:val="single" w:color="E2E8F0" w:sz="4"/>
              <w:bottom w:val="single" w:color="E2E8F0" w:sz="4"/>
              <w:right w:val="single" w:color="E2E8F0" w:sz="4"/>
            </w:tcBorders>
            <w:shd w:fill="FFFFFF" w:val="clear"/>
            <w:tcMar>
              <w:top w:type="dxa" w:w="70"/>
              <w:left w:type="dxa" w:w="130"/>
              <w:bottom w:type="dxa" w:w="70"/>
              <w:right w:type="dxa" w:w="130"/>
            </w:tcMar>
            <w:vAlign w:val="center"/>
          </w:tcPr>
          <w:p>
            <w:pPr>
              <w:jc w:val="left"/>
            </w:pPr>
            <w:r>
              <w:rPr>
                <w:b/>
                <w:bCs/>
                <w:color w:val="1E293B"/>
                <w:sz w:val="20"/>
                <w:szCs w:val="20"/>
              </w:rPr>
              <w:t xml:space="preserve">BR-7</w:t>
            </w:r>
          </w:p>
        </w:tc>
        <w:tc>
          <w:tcPr>
            <w:tcW w:type="dxa" w:w="8260"/>
            <w:tcBorders>
              <w:top w:val="single" w:color="E2E8F0" w:sz="4"/>
              <w:left w:val="single" w:color="E2E8F0" w:sz="4"/>
              <w:bottom w:val="single" w:color="E2E8F0" w:sz="4"/>
              <w:right w:val="single" w:color="E2E8F0" w:sz="4"/>
            </w:tcBorders>
            <w:shd w:fill="FFFFFF" w:val="clear"/>
            <w:tcMar>
              <w:top w:type="dxa" w:w="70"/>
              <w:left w:type="dxa" w:w="130"/>
              <w:bottom w:type="dxa" w:w="70"/>
              <w:right w:type="dxa" w:w="130"/>
            </w:tcMar>
            <w:vAlign w:val="center"/>
          </w:tcPr>
          <w:p>
            <w:pPr>
              <w:jc w:val="left"/>
            </w:pPr>
            <w:r>
              <w:rPr>
                <w:b w:val="false"/>
                <w:bCs w:val="false"/>
                <w:color w:val="1E293B"/>
                <w:sz w:val="20"/>
                <w:szCs w:val="20"/>
              </w:rPr>
              <w:t xml:space="preserve">Stores can target promotions to users whose lists contain relevant products.</w:t>
            </w:r>
          </w:p>
        </w:tc>
      </w:tr>
      <w:tr>
        <w:tc>
          <w:tcPr>
            <w:tcW w:type="dxa" w:w="1100"/>
            <w:tcBorders>
              <w:top w:val="single" w:color="E2E8F0" w:sz="4"/>
              <w:left w:val="single" w:color="E2E8F0" w:sz="4"/>
              <w:bottom w:val="single" w:color="E2E8F0" w:sz="4"/>
              <w:right w:val="single" w:color="E2E8F0" w:sz="4"/>
            </w:tcBorders>
            <w:shd w:fill="F1F5F9" w:val="clear"/>
            <w:tcMar>
              <w:top w:type="dxa" w:w="70"/>
              <w:left w:type="dxa" w:w="130"/>
              <w:bottom w:type="dxa" w:w="70"/>
              <w:right w:type="dxa" w:w="130"/>
            </w:tcMar>
            <w:vAlign w:val="center"/>
          </w:tcPr>
          <w:p>
            <w:pPr>
              <w:jc w:val="left"/>
            </w:pPr>
            <w:r>
              <w:rPr>
                <w:b/>
                <w:bCs/>
                <w:color w:val="1E293B"/>
                <w:sz w:val="20"/>
                <w:szCs w:val="20"/>
              </w:rPr>
              <w:t xml:space="preserve">BR-8</w:t>
            </w:r>
          </w:p>
        </w:tc>
        <w:tc>
          <w:tcPr>
            <w:tcW w:type="dxa" w:w="8260"/>
            <w:tcBorders>
              <w:top w:val="single" w:color="E2E8F0" w:sz="4"/>
              <w:left w:val="single" w:color="E2E8F0" w:sz="4"/>
              <w:bottom w:val="single" w:color="E2E8F0" w:sz="4"/>
              <w:right w:val="single" w:color="E2E8F0" w:sz="4"/>
            </w:tcBorders>
            <w:shd w:fill="F1F5F9" w:val="clear"/>
            <w:tcMar>
              <w:top w:type="dxa" w:w="70"/>
              <w:left w:type="dxa" w:w="130"/>
              <w:bottom w:type="dxa" w:w="70"/>
              <w:right w:type="dxa" w:w="130"/>
            </w:tcMar>
            <w:vAlign w:val="center"/>
          </w:tcPr>
          <w:p>
            <w:pPr>
              <w:jc w:val="left"/>
            </w:pPr>
            <w:r>
              <w:rPr>
                <w:b w:val="false"/>
                <w:bCs w:val="false"/>
                <w:color w:val="1E293B"/>
                <w:sz w:val="20"/>
                <w:szCs w:val="20"/>
              </w:rPr>
              <w:t xml:space="preserve">All features are gateable by subscription tier without code changes.</w:t>
            </w:r>
          </w:p>
        </w:tc>
      </w:tr>
      <w:tr>
        <w:tc>
          <w:tcPr>
            <w:tcW w:type="dxa" w:w="1100"/>
            <w:tcBorders>
              <w:top w:val="single" w:color="E2E8F0" w:sz="4"/>
              <w:left w:val="single" w:color="E2E8F0" w:sz="4"/>
              <w:bottom w:val="single" w:color="E2E8F0" w:sz="4"/>
              <w:right w:val="single" w:color="E2E8F0" w:sz="4"/>
            </w:tcBorders>
            <w:shd w:fill="FFFFFF" w:val="clear"/>
            <w:tcMar>
              <w:top w:type="dxa" w:w="70"/>
              <w:left w:type="dxa" w:w="130"/>
              <w:bottom w:type="dxa" w:w="70"/>
              <w:right w:type="dxa" w:w="130"/>
            </w:tcMar>
            <w:vAlign w:val="center"/>
          </w:tcPr>
          <w:p>
            <w:pPr>
              <w:jc w:val="left"/>
            </w:pPr>
            <w:r>
              <w:rPr>
                <w:b/>
                <w:bCs/>
                <w:color w:val="1E293B"/>
                <w:sz w:val="20"/>
                <w:szCs w:val="20"/>
              </w:rPr>
              <w:t xml:space="preserve">BR-9</w:t>
            </w:r>
          </w:p>
        </w:tc>
        <w:tc>
          <w:tcPr>
            <w:tcW w:type="dxa" w:w="8260"/>
            <w:tcBorders>
              <w:top w:val="single" w:color="E2E8F0" w:sz="4"/>
              <w:left w:val="single" w:color="E2E8F0" w:sz="4"/>
              <w:bottom w:val="single" w:color="E2E8F0" w:sz="4"/>
              <w:right w:val="single" w:color="E2E8F0" w:sz="4"/>
            </w:tcBorders>
            <w:shd w:fill="FFFFFF" w:val="clear"/>
            <w:tcMar>
              <w:top w:type="dxa" w:w="70"/>
              <w:left w:type="dxa" w:w="130"/>
              <w:bottom w:type="dxa" w:w="70"/>
              <w:right w:type="dxa" w:w="130"/>
            </w:tcMar>
            <w:vAlign w:val="center"/>
          </w:tcPr>
          <w:p>
            <w:pPr>
              <w:jc w:val="left"/>
            </w:pPr>
            <w:r>
              <w:rPr>
                <w:b w:val="false"/>
                <w:bCs w:val="false"/>
                <w:color w:val="1E293B"/>
                <w:sz w:val="20"/>
                <w:szCs w:val="20"/>
              </w:rPr>
              <w:t xml:space="preserve">The platform is localized for South Africa and architected for multi-region expansion.</w:t>
            </w:r>
          </w:p>
        </w:tc>
      </w:tr>
      <w:tr>
        <w:tc>
          <w:tcPr>
            <w:tcW w:type="dxa" w:w="1100"/>
            <w:tcBorders>
              <w:top w:val="single" w:color="E2E8F0" w:sz="4"/>
              <w:left w:val="single" w:color="E2E8F0" w:sz="4"/>
              <w:bottom w:val="single" w:color="E2E8F0" w:sz="4"/>
              <w:right w:val="single" w:color="E2E8F0" w:sz="4"/>
            </w:tcBorders>
            <w:shd w:fill="FFFFFF" w:val="clear"/>
            <w:tcMar>
              <w:top w:type="dxa" w:w="70"/>
              <w:left w:type="dxa" w:w="130"/>
              <w:bottom w:type="dxa" w:w="70"/>
              <w:right w:type="dxa" w:w="130"/>
            </w:tcMar>
            <w:vAlign w:val="center"/>
          </w:tcPr>
          <w:p>
            <w:pPr>
              <w:jc w:val="left"/>
            </w:pPr>
            <w:r>
              <w:rPr>
                <w:b/>
                <w:bCs/>
                <w:color w:val="1E293B"/>
                <w:sz w:val="20"/>
                <w:szCs w:val="20"/>
              </w:rPr>
              <w:t xml:space="preserve">BR-10</w:t>
            </w:r>
          </w:p>
        </w:tc>
        <w:tc>
          <w:tcPr>
            <w:tcW w:type="dxa" w:w="8260"/>
            <w:tcBorders>
              <w:top w:val="single" w:color="E2E8F0" w:sz="4"/>
              <w:left w:val="single" w:color="E2E8F0" w:sz="4"/>
              <w:bottom w:val="single" w:color="E2E8F0" w:sz="4"/>
              <w:right w:val="single" w:color="E2E8F0" w:sz="4"/>
            </w:tcBorders>
            <w:shd w:fill="FFFFFF" w:val="clear"/>
            <w:tcMar>
              <w:top w:type="dxa" w:w="70"/>
              <w:left w:type="dxa" w:w="130"/>
              <w:bottom w:type="dxa" w:w="70"/>
              <w:right w:type="dxa" w:w="130"/>
            </w:tcMar>
            <w:vAlign w:val="center"/>
          </w:tcPr>
          <w:p>
            <w:pPr>
              <w:jc w:val="left"/>
            </w:pPr>
            <w:r>
              <w:rPr>
                <w:b w:val="false"/>
                <w:bCs w:val="false"/>
                <w:color w:val="1E293B"/>
                <w:sz w:val="20"/>
                <w:szCs w:val="20"/>
              </w:rPr>
              <w:t xml:space="preserve">The platform serves house-sold in-app advertising (banner, native, interstitial/rewarded); display is suppressed for users on an ad-free subscription tier.</w:t>
            </w:r>
          </w:p>
        </w:tc>
      </w:tr>
    </w:tbl>
    <w:p>
      <w:pPr>
        <w:pStyle w:val="Heading1"/>
      </w:pPr>
      <w:r>
        <w:t xml:space="preserve">8. Monetization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E2E8F0" w:sz="4"/>
              <w:left w:val="single" w:color="E2E8F0" w:sz="4"/>
              <w:bottom w:val="single" w:color="E2E8F0" w:sz="4"/>
              <w:right w:val="single" w:color="E2E8F0" w:sz="4"/>
            </w:tcBorders>
            <w:shd w:fill="0B1220" w:val="clear"/>
            <w:tcMar>
              <w:top w:type="dxa" w:w="70"/>
              <w:left w:type="dxa" w:w="130"/>
              <w:bottom w:type="dxa" w:w="70"/>
              <w:right w:type="dxa" w:w="130"/>
            </w:tcMar>
            <w:vAlign w:val="center"/>
          </w:tcPr>
          <w:p>
            <w:pPr>
              <w:jc w:val="left"/>
            </w:pPr>
            <w:r>
              <w:rPr>
                <w:b/>
                <w:bCs/>
                <w:color w:val="FFFFFF"/>
                <w:sz w:val="20"/>
                <w:szCs w:val="20"/>
              </w:rPr>
              <w:t xml:space="preserve">Revenue Stream</w:t>
            </w:r>
          </w:p>
        </w:tc>
        <w:tc>
          <w:tcPr>
            <w:tcW w:type="dxa" w:w="6760"/>
            <w:tcBorders>
              <w:top w:val="single" w:color="E2E8F0" w:sz="4"/>
              <w:left w:val="single" w:color="E2E8F0" w:sz="4"/>
              <w:bottom w:val="single" w:color="E2E8F0" w:sz="4"/>
              <w:right w:val="single" w:color="E2E8F0" w:sz="4"/>
            </w:tcBorders>
            <w:shd w:fill="0B1220" w:val="clear"/>
            <w:tcMar>
              <w:top w:type="dxa" w:w="70"/>
              <w:left w:type="dxa" w:w="130"/>
              <w:bottom w:type="dxa" w:w="70"/>
              <w:right w:type="dxa" w:w="130"/>
            </w:tcMar>
            <w:vAlign w:val="center"/>
          </w:tcPr>
          <w:p>
            <w:pPr>
              <w:jc w:val="left"/>
            </w:pPr>
            <w:r>
              <w:rPr>
                <w:b/>
                <w:bCs/>
                <w:color w:val="FFFFFF"/>
                <w:sz w:val="20"/>
                <w:szCs w:val="20"/>
              </w:rPr>
              <w:t xml:space="preserve">Description</w:t>
            </w:r>
          </w:p>
        </w:tc>
      </w:tr>
      <w:tr>
        <w:tc>
          <w:tcPr>
            <w:tcW w:type="dxa" w:w="2600"/>
            <w:tcBorders>
              <w:top w:val="single" w:color="E2E8F0" w:sz="4"/>
              <w:left w:val="single" w:color="E2E8F0" w:sz="4"/>
              <w:bottom w:val="single" w:color="E2E8F0" w:sz="4"/>
              <w:right w:val="single" w:color="E2E8F0" w:sz="4"/>
            </w:tcBorders>
            <w:shd w:fill="FFFFFF" w:val="clear"/>
            <w:tcMar>
              <w:top w:type="dxa" w:w="70"/>
              <w:left w:type="dxa" w:w="130"/>
              <w:bottom w:type="dxa" w:w="70"/>
              <w:right w:type="dxa" w:w="130"/>
            </w:tcMar>
            <w:vAlign w:val="center"/>
          </w:tcPr>
          <w:p>
            <w:pPr>
              <w:jc w:val="left"/>
            </w:pPr>
            <w:r>
              <w:rPr>
                <w:b/>
                <w:bCs/>
                <w:color w:val="1E293B"/>
                <w:sz w:val="20"/>
                <w:szCs w:val="20"/>
              </w:rPr>
              <w:t xml:space="preserve">Subscriptions</w:t>
            </w:r>
          </w:p>
        </w:tc>
        <w:tc>
          <w:tcPr>
            <w:tcW w:type="dxa" w:w="6760"/>
            <w:tcBorders>
              <w:top w:val="single" w:color="E2E8F0" w:sz="4"/>
              <w:left w:val="single" w:color="E2E8F0" w:sz="4"/>
              <w:bottom w:val="single" w:color="E2E8F0" w:sz="4"/>
              <w:right w:val="single" w:color="E2E8F0" w:sz="4"/>
            </w:tcBorders>
            <w:shd w:fill="FFFFFF" w:val="clear"/>
            <w:tcMar>
              <w:top w:type="dxa" w:w="70"/>
              <w:left w:type="dxa" w:w="130"/>
              <w:bottom w:type="dxa" w:w="70"/>
              <w:right w:type="dxa" w:w="130"/>
            </w:tcMar>
            <w:vAlign w:val="center"/>
          </w:tcPr>
          <w:p>
            <w:pPr>
              <w:jc w:val="left"/>
            </w:pPr>
            <w:r>
              <w:rPr>
                <w:b w:val="false"/>
                <w:bCs w:val="false"/>
                <w:color w:val="1E293B"/>
                <w:sz w:val="20"/>
                <w:szCs w:val="20"/>
              </w:rPr>
              <w:t xml:space="preserve">Monthly/annual plans across Free, Personal Premium, Family/Team, Professional, and Store Partner tiers</w:t>
            </w:r>
          </w:p>
        </w:tc>
      </w:tr>
      <w:tr>
        <w:tc>
          <w:tcPr>
            <w:tcW w:type="dxa" w:w="2600"/>
            <w:tcBorders>
              <w:top w:val="single" w:color="E2E8F0" w:sz="4"/>
              <w:left w:val="single" w:color="E2E8F0" w:sz="4"/>
              <w:bottom w:val="single" w:color="E2E8F0" w:sz="4"/>
              <w:right w:val="single" w:color="E2E8F0" w:sz="4"/>
            </w:tcBorders>
            <w:shd w:fill="F1F5F9" w:val="clear"/>
            <w:tcMar>
              <w:top w:type="dxa" w:w="70"/>
              <w:left w:type="dxa" w:w="130"/>
              <w:bottom w:type="dxa" w:w="70"/>
              <w:right w:type="dxa" w:w="130"/>
            </w:tcMar>
            <w:vAlign w:val="center"/>
          </w:tcPr>
          <w:p>
            <w:pPr>
              <w:jc w:val="left"/>
            </w:pPr>
            <w:r>
              <w:rPr>
                <w:b/>
                <w:bCs/>
                <w:color w:val="1E293B"/>
                <w:sz w:val="20"/>
                <w:szCs w:val="20"/>
              </w:rPr>
              <w:t xml:space="preserve">Affiliate commissions</w:t>
            </w:r>
          </w:p>
        </w:tc>
        <w:tc>
          <w:tcPr>
            <w:tcW w:type="dxa" w:w="6760"/>
            <w:tcBorders>
              <w:top w:val="single" w:color="E2E8F0" w:sz="4"/>
              <w:left w:val="single" w:color="E2E8F0" w:sz="4"/>
              <w:bottom w:val="single" w:color="E2E8F0" w:sz="4"/>
              <w:right w:val="single" w:color="E2E8F0" w:sz="4"/>
            </w:tcBorders>
            <w:shd w:fill="F1F5F9" w:val="clear"/>
            <w:tcMar>
              <w:top w:type="dxa" w:w="70"/>
              <w:left w:type="dxa" w:w="130"/>
              <w:bottom w:type="dxa" w:w="70"/>
              <w:right w:type="dxa" w:w="130"/>
            </w:tcMar>
            <w:vAlign w:val="center"/>
          </w:tcPr>
          <w:p>
            <w:pPr>
              <w:jc w:val="left"/>
            </w:pPr>
            <w:r>
              <w:rPr>
                <w:b w:val="false"/>
                <w:bCs w:val="false"/>
                <w:color w:val="1E293B"/>
                <w:sz w:val="20"/>
                <w:szCs w:val="20"/>
              </w:rPr>
              <w:t xml:space="preserve">Revenue share on delivery-platform click-throughs that lead to orders</w:t>
            </w:r>
          </w:p>
        </w:tc>
      </w:tr>
      <w:tr>
        <w:tc>
          <w:tcPr>
            <w:tcW w:type="dxa" w:w="2600"/>
            <w:tcBorders>
              <w:top w:val="single" w:color="E2E8F0" w:sz="4"/>
              <w:left w:val="single" w:color="E2E8F0" w:sz="4"/>
              <w:bottom w:val="single" w:color="E2E8F0" w:sz="4"/>
              <w:right w:val="single" w:color="E2E8F0" w:sz="4"/>
            </w:tcBorders>
            <w:shd w:fill="FFFFFF" w:val="clear"/>
            <w:tcMar>
              <w:top w:type="dxa" w:w="70"/>
              <w:left w:type="dxa" w:w="130"/>
              <w:bottom w:type="dxa" w:w="70"/>
              <w:right w:type="dxa" w:w="130"/>
            </w:tcMar>
            <w:vAlign w:val="center"/>
          </w:tcPr>
          <w:p>
            <w:pPr>
              <w:jc w:val="left"/>
            </w:pPr>
            <w:r>
              <w:rPr>
                <w:b/>
                <w:bCs/>
                <w:color w:val="1E293B"/>
                <w:sz w:val="20"/>
                <w:szCs w:val="20"/>
              </w:rPr>
              <w:t xml:space="preserve">Store promotion fees</w:t>
            </w:r>
          </w:p>
        </w:tc>
        <w:tc>
          <w:tcPr>
            <w:tcW w:type="dxa" w:w="6760"/>
            <w:tcBorders>
              <w:top w:val="single" w:color="E2E8F0" w:sz="4"/>
              <w:left w:val="single" w:color="E2E8F0" w:sz="4"/>
              <w:bottom w:val="single" w:color="E2E8F0" w:sz="4"/>
              <w:right w:val="single" w:color="E2E8F0" w:sz="4"/>
            </w:tcBorders>
            <w:shd w:fill="FFFFFF" w:val="clear"/>
            <w:tcMar>
              <w:top w:type="dxa" w:w="70"/>
              <w:left w:type="dxa" w:w="130"/>
              <w:bottom w:type="dxa" w:w="70"/>
              <w:right w:type="dxa" w:w="130"/>
            </w:tcMar>
            <w:vAlign w:val="center"/>
          </w:tcPr>
          <w:p>
            <w:pPr>
              <w:jc w:val="left"/>
            </w:pPr>
            <w:r>
              <w:rPr>
                <w:b w:val="false"/>
                <w:bCs w:val="false"/>
                <w:color w:val="1E293B"/>
                <w:sz w:val="20"/>
                <w:szCs w:val="20"/>
              </w:rPr>
              <w:t xml:space="preserve">Stores pay to push targeted deals to matched users</w:t>
            </w:r>
          </w:p>
        </w:tc>
      </w:tr>
      <w:tr>
        <w:tc>
          <w:tcPr>
            <w:tcW w:type="dxa" w:w="2600"/>
            <w:tcBorders>
              <w:top w:val="single" w:color="E2E8F0" w:sz="4"/>
              <w:left w:val="single" w:color="E2E8F0" w:sz="4"/>
              <w:bottom w:val="single" w:color="E2E8F0" w:sz="4"/>
              <w:right w:val="single" w:color="E2E8F0" w:sz="4"/>
            </w:tcBorders>
            <w:shd w:fill="F1F5F9" w:val="clear"/>
            <w:tcMar>
              <w:top w:type="dxa" w:w="70"/>
              <w:left w:type="dxa" w:w="130"/>
              <w:bottom w:type="dxa" w:w="70"/>
              <w:right w:type="dxa" w:w="130"/>
            </w:tcMar>
            <w:vAlign w:val="center"/>
          </w:tcPr>
          <w:p>
            <w:pPr>
              <w:jc w:val="left"/>
            </w:pPr>
            <w:r>
              <w:rPr>
                <w:b/>
                <w:bCs/>
                <w:color w:val="1E293B"/>
                <w:sz w:val="20"/>
                <w:szCs w:val="20"/>
              </w:rPr>
              <w:t xml:space="preserve">Data insights</w:t>
            </w:r>
          </w:p>
        </w:tc>
        <w:tc>
          <w:tcPr>
            <w:tcW w:type="dxa" w:w="6760"/>
            <w:tcBorders>
              <w:top w:val="single" w:color="E2E8F0" w:sz="4"/>
              <w:left w:val="single" w:color="E2E8F0" w:sz="4"/>
              <w:bottom w:val="single" w:color="E2E8F0" w:sz="4"/>
              <w:right w:val="single" w:color="E2E8F0" w:sz="4"/>
            </w:tcBorders>
            <w:shd w:fill="F1F5F9" w:val="clear"/>
            <w:tcMar>
              <w:top w:type="dxa" w:w="70"/>
              <w:left w:type="dxa" w:w="130"/>
              <w:bottom w:type="dxa" w:w="70"/>
              <w:right w:type="dxa" w:w="130"/>
            </w:tcMar>
            <w:vAlign w:val="center"/>
          </w:tcPr>
          <w:p>
            <w:pPr>
              <w:jc w:val="left"/>
            </w:pPr>
            <w:r>
              <w:rPr>
                <w:b w:val="false"/>
                <w:bCs w:val="false"/>
                <w:color w:val="1E293B"/>
                <w:sz w:val="20"/>
                <w:szCs w:val="20"/>
              </w:rPr>
              <w:t xml:space="preserve">Aggregated, anonymized shopping trend reports for retail partners</w:t>
            </w:r>
          </w:p>
        </w:tc>
      </w:tr>
      <w:tr>
        <w:tc>
          <w:tcPr>
            <w:tcW w:type="dxa" w:w="2600"/>
            <w:tcBorders>
              <w:top w:val="single" w:color="E2E8F0" w:sz="4"/>
              <w:left w:val="single" w:color="E2E8F0" w:sz="4"/>
              <w:bottom w:val="single" w:color="E2E8F0" w:sz="4"/>
              <w:right w:val="single" w:color="E2E8F0" w:sz="4"/>
            </w:tcBorders>
            <w:shd w:fill="FFFFFF" w:val="clear"/>
            <w:tcMar>
              <w:top w:type="dxa" w:w="70"/>
              <w:left w:type="dxa" w:w="130"/>
              <w:bottom w:type="dxa" w:w="70"/>
              <w:right w:type="dxa" w:w="130"/>
            </w:tcMar>
            <w:vAlign w:val="center"/>
          </w:tcPr>
          <w:p>
            <w:pPr>
              <w:jc w:val="left"/>
            </w:pPr>
            <w:r>
              <w:rPr>
                <w:b/>
                <w:bCs/>
                <w:color w:val="1E293B"/>
                <w:sz w:val="20"/>
                <w:szCs w:val="20"/>
              </w:rPr>
              <w:t xml:space="preserve">In-app advertising</w:t>
            </w:r>
          </w:p>
        </w:tc>
        <w:tc>
          <w:tcPr>
            <w:tcW w:type="dxa" w:w="6760"/>
            <w:tcBorders>
              <w:top w:val="single" w:color="E2E8F0" w:sz="4"/>
              <w:left w:val="single" w:color="E2E8F0" w:sz="4"/>
              <w:bottom w:val="single" w:color="E2E8F0" w:sz="4"/>
              <w:right w:val="single" w:color="E2E8F0" w:sz="4"/>
            </w:tcBorders>
            <w:shd w:fill="FFFFFF" w:val="clear"/>
            <w:tcMar>
              <w:top w:type="dxa" w:w="70"/>
              <w:left w:type="dxa" w:w="130"/>
              <w:bottom w:type="dxa" w:w="70"/>
              <w:right w:type="dxa" w:w="130"/>
            </w:tcMar>
            <w:vAlign w:val="center"/>
          </w:tcPr>
          <w:p>
            <w:pPr>
              <w:jc w:val="left"/>
            </w:pPr>
            <w:r>
              <w:rPr>
                <w:b w:val="false"/>
                <w:bCs w:val="false"/>
                <w:color w:val="1E293B"/>
                <w:sz w:val="20"/>
                <w:szCs w:val="20"/>
              </w:rPr>
              <w:t xml:space="preserve">Direct-sold house ads (banner, native/sponsored, interstitial/rewarded) shown to Free-tier users; ad-free is a paid-tier benefit</w:t>
            </w:r>
          </w:p>
        </w:tc>
      </w:tr>
    </w:tbl>
    <w:p>
      <w:pPr>
        <w:pStyle w:val="Heading1"/>
      </w:pPr>
      <w:r>
        <w:t xml:space="preserve">9. Assumptions &amp; Constraints</w:t>
      </w:r>
    </w:p>
    <w:p>
      <w:pPr>
        <w:pStyle w:val="Heading2"/>
      </w:pPr>
      <w:r>
        <w:t xml:space="preserve">9.1 Assumptions</w:t>
      </w:r>
    </w:p>
    <w:p>
      <w:pPr>
        <w:pStyle w:val="ListParagraph"/>
        <w:numPr>
          <w:ilvl w:val="0"/>
          <w:numId w:val="2"/>
        </w:numPr>
        <w:spacing w:after="70" w:line="270"/>
      </w:pPr>
      <w:r>
        <w:rPr>
          <w:b w:val="false"/>
          <w:bCs w:val="false"/>
        </w:rPr>
        <w:t xml:space="preserve">Sufficient active users will contribute in-store prices to build a useful data set.</w:t>
      </w:r>
    </w:p>
    <w:p>
      <w:pPr>
        <w:pStyle w:val="ListParagraph"/>
        <w:numPr>
          <w:ilvl w:val="0"/>
          <w:numId w:val="2"/>
        </w:numPr>
        <w:spacing w:after="70" w:line="270"/>
      </w:pPr>
      <w:r>
        <w:rPr>
          <w:b w:val="false"/>
          <w:bCs w:val="false"/>
        </w:rPr>
        <w:t xml:space="preserve">Delivery platforms' public catalogues remain accessible for scraping in the initial phase.</w:t>
      </w:r>
    </w:p>
    <w:p>
      <w:pPr>
        <w:pStyle w:val="ListParagraph"/>
        <w:numPr>
          <w:ilvl w:val="0"/>
          <w:numId w:val="2"/>
        </w:numPr>
        <w:spacing w:after="70" w:line="270"/>
      </w:pPr>
      <w:r>
        <w:rPr>
          <w:b w:val="false"/>
          <w:bCs w:val="false"/>
        </w:rPr>
        <w:t xml:space="preserve">Stripe is available for subscription billing in the launch market.</w:t>
      </w:r>
    </w:p>
    <w:p>
      <w:pPr>
        <w:pStyle w:val="Heading2"/>
      </w:pPr>
      <w:r>
        <w:t xml:space="preserve">9.2 Constraints</w:t>
      </w:r>
    </w:p>
    <w:p>
      <w:pPr>
        <w:pStyle w:val="ListParagraph"/>
        <w:numPr>
          <w:ilvl w:val="0"/>
          <w:numId w:val="2"/>
        </w:numPr>
        <w:spacing w:after="70" w:line="270"/>
      </w:pPr>
      <w:r>
        <w:rPr>
          <w:b w:val="false"/>
          <w:bCs w:val="false"/>
        </w:rPr>
        <w:t xml:space="preserve">No official delivery-platform API access at launch — reliance on scraping and crowd-sourced data.</w:t>
      </w:r>
    </w:p>
    <w:p>
      <w:pPr>
        <w:pStyle w:val="ListParagraph"/>
        <w:numPr>
          <w:ilvl w:val="0"/>
          <w:numId w:val="2"/>
        </w:numPr>
        <w:spacing w:after="70" w:line="270"/>
      </w:pPr>
      <w:r>
        <w:rPr>
          <w:b w:val="false"/>
          <w:bCs w:val="false"/>
        </w:rPr>
        <w:t xml:space="preserve">South Africa is the launch market; data residency and currency default to ZA.</w:t>
      </w:r>
    </w:p>
    <w:p>
      <w:pPr>
        <w:pStyle w:val="ListParagraph"/>
        <w:numPr>
          <w:ilvl w:val="0"/>
          <w:numId w:val="2"/>
        </w:numPr>
        <w:spacing w:after="70" w:line="270"/>
      </w:pPr>
      <w:r>
        <w:rPr>
          <w:b w:val="false"/>
          <w:bCs w:val="false"/>
        </w:rPr>
        <w:t xml:space="preserve">Mobile-first delivery; the web build is limited to the admin console initially.</w:t>
      </w:r>
    </w:p>
    <w:p>
      <w:pPr>
        <w:pStyle w:val="Heading1"/>
      </w:pPr>
      <w:r>
        <w:t xml:space="preserve">10. Risks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80"/>
        <w:gridCol w:w="3080"/>
      </w:tblGrid>
      <w:tr>
        <w:trPr>
          <w:tblHeader/>
        </w:trPr>
        <w:tc>
          <w:tcPr>
            <w:tcW w:type="dxa" w:w="2600"/>
            <w:tcBorders>
              <w:top w:val="single" w:color="E2E8F0" w:sz="4"/>
              <w:left w:val="single" w:color="E2E8F0" w:sz="4"/>
              <w:bottom w:val="single" w:color="E2E8F0" w:sz="4"/>
              <w:right w:val="single" w:color="E2E8F0" w:sz="4"/>
            </w:tcBorders>
            <w:shd w:fill="0B1220" w:val="clear"/>
            <w:tcMar>
              <w:top w:type="dxa" w:w="70"/>
              <w:left w:type="dxa" w:w="130"/>
              <w:bottom w:type="dxa" w:w="70"/>
              <w:right w:type="dxa" w:w="130"/>
            </w:tcMar>
            <w:vAlign w:val="center"/>
          </w:tcPr>
          <w:p>
            <w:pPr>
              <w:jc w:val="left"/>
            </w:pPr>
            <w:r>
              <w:rPr>
                <w:b/>
                <w:bCs/>
                <w:color w:val="FFFFFF"/>
                <w:sz w:val="20"/>
                <w:szCs w:val="20"/>
              </w:rPr>
              <w:t xml:space="preserve">Risk</w:t>
            </w:r>
          </w:p>
        </w:tc>
        <w:tc>
          <w:tcPr>
            <w:tcW w:type="dxa" w:w="3680"/>
            <w:tcBorders>
              <w:top w:val="single" w:color="E2E8F0" w:sz="4"/>
              <w:left w:val="single" w:color="E2E8F0" w:sz="4"/>
              <w:bottom w:val="single" w:color="E2E8F0" w:sz="4"/>
              <w:right w:val="single" w:color="E2E8F0" w:sz="4"/>
            </w:tcBorders>
            <w:shd w:fill="0B1220" w:val="clear"/>
            <w:tcMar>
              <w:top w:type="dxa" w:w="70"/>
              <w:left w:type="dxa" w:w="130"/>
              <w:bottom w:type="dxa" w:w="70"/>
              <w:right w:type="dxa" w:w="130"/>
            </w:tcMar>
            <w:vAlign w:val="center"/>
          </w:tcPr>
          <w:p>
            <w:pPr>
              <w:jc w:val="left"/>
            </w:pPr>
            <w:r>
              <w:rPr>
                <w:b/>
                <w:bCs/>
                <w:color w:val="FFFFFF"/>
                <w:sz w:val="20"/>
                <w:szCs w:val="20"/>
              </w:rPr>
              <w:t xml:space="preserve">Impact</w:t>
            </w:r>
          </w:p>
        </w:tc>
        <w:tc>
          <w:tcPr>
            <w:tcW w:type="dxa" w:w="3080"/>
            <w:tcBorders>
              <w:top w:val="single" w:color="E2E8F0" w:sz="4"/>
              <w:left w:val="single" w:color="E2E8F0" w:sz="4"/>
              <w:bottom w:val="single" w:color="E2E8F0" w:sz="4"/>
              <w:right w:val="single" w:color="E2E8F0" w:sz="4"/>
            </w:tcBorders>
            <w:shd w:fill="0B1220" w:val="clear"/>
            <w:tcMar>
              <w:top w:type="dxa" w:w="70"/>
              <w:left w:type="dxa" w:w="130"/>
              <w:bottom w:type="dxa" w:w="70"/>
              <w:right w:type="dxa" w:w="130"/>
            </w:tcMar>
            <w:vAlign w:val="center"/>
          </w:tcPr>
          <w:p>
            <w:pPr>
              <w:jc w:val="left"/>
            </w:pPr>
            <w:r>
              <w:rPr>
                <w:b/>
                <w:bCs/>
                <w:color w:val="FFFFFF"/>
                <w:sz w:val="20"/>
                <w:szCs w:val="20"/>
              </w:rPr>
              <w:t xml:space="preserve">Mitigation</w:t>
            </w:r>
          </w:p>
        </w:tc>
      </w:tr>
      <w:tr>
        <w:tc>
          <w:tcPr>
            <w:tcW w:type="dxa" w:w="2600"/>
            <w:tcBorders>
              <w:top w:val="single" w:color="E2E8F0" w:sz="4"/>
              <w:left w:val="single" w:color="E2E8F0" w:sz="4"/>
              <w:bottom w:val="single" w:color="E2E8F0" w:sz="4"/>
              <w:right w:val="single" w:color="E2E8F0" w:sz="4"/>
            </w:tcBorders>
            <w:shd w:fill="FFFFFF" w:val="clear"/>
            <w:tcMar>
              <w:top w:type="dxa" w:w="70"/>
              <w:left w:type="dxa" w:w="130"/>
              <w:bottom w:type="dxa" w:w="70"/>
              <w:right w:type="dxa" w:w="130"/>
            </w:tcMar>
            <w:vAlign w:val="center"/>
          </w:tcPr>
          <w:p>
            <w:pPr>
              <w:jc w:val="left"/>
            </w:pPr>
            <w:r>
              <w:rPr>
                <w:b/>
                <w:bCs/>
                <w:color w:val="1E293B"/>
                <w:sz w:val="20"/>
                <w:szCs w:val="20"/>
              </w:rPr>
              <w:t xml:space="preserve">Insufficient price contributions</w:t>
            </w:r>
          </w:p>
        </w:tc>
        <w:tc>
          <w:tcPr>
            <w:tcW w:type="dxa" w:w="3680"/>
            <w:tcBorders>
              <w:top w:val="single" w:color="E2E8F0" w:sz="4"/>
              <w:left w:val="single" w:color="E2E8F0" w:sz="4"/>
              <w:bottom w:val="single" w:color="E2E8F0" w:sz="4"/>
              <w:right w:val="single" w:color="E2E8F0" w:sz="4"/>
            </w:tcBorders>
            <w:shd w:fill="FFFFFF" w:val="clear"/>
            <w:tcMar>
              <w:top w:type="dxa" w:w="70"/>
              <w:left w:type="dxa" w:w="130"/>
              <w:bottom w:type="dxa" w:w="70"/>
              <w:right w:type="dxa" w:w="130"/>
            </w:tcMar>
            <w:vAlign w:val="center"/>
          </w:tcPr>
          <w:p>
            <w:pPr>
              <w:jc w:val="left"/>
            </w:pPr>
            <w:r>
              <w:rPr>
                <w:b w:val="false"/>
                <w:bCs w:val="false"/>
                <w:color w:val="1E293B"/>
                <w:sz w:val="20"/>
                <w:szCs w:val="20"/>
              </w:rPr>
              <w:t xml:space="preserve">Weak comparison value early on</w:t>
            </w:r>
          </w:p>
        </w:tc>
        <w:tc>
          <w:tcPr>
            <w:tcW w:type="dxa" w:w="3080"/>
            <w:tcBorders>
              <w:top w:val="single" w:color="E2E8F0" w:sz="4"/>
              <w:left w:val="single" w:color="E2E8F0" w:sz="4"/>
              <w:bottom w:val="single" w:color="E2E8F0" w:sz="4"/>
              <w:right w:val="single" w:color="E2E8F0" w:sz="4"/>
            </w:tcBorders>
            <w:shd w:fill="FFFFFF" w:val="clear"/>
            <w:tcMar>
              <w:top w:type="dxa" w:w="70"/>
              <w:left w:type="dxa" w:w="130"/>
              <w:bottom w:type="dxa" w:w="70"/>
              <w:right w:type="dxa" w:w="130"/>
            </w:tcMar>
            <w:vAlign w:val="center"/>
          </w:tcPr>
          <w:p>
            <w:pPr>
              <w:jc w:val="left"/>
            </w:pPr>
            <w:r>
              <w:rPr>
                <w:b w:val="false"/>
                <w:bCs w:val="false"/>
                <w:color w:val="1E293B"/>
                <w:sz w:val="20"/>
                <w:szCs w:val="20"/>
              </w:rPr>
              <w:t xml:space="preserve">Seed with scraping; incentivize contributions</w:t>
            </w:r>
          </w:p>
        </w:tc>
      </w:tr>
      <w:tr>
        <w:tc>
          <w:tcPr>
            <w:tcW w:type="dxa" w:w="2600"/>
            <w:tcBorders>
              <w:top w:val="single" w:color="E2E8F0" w:sz="4"/>
              <w:left w:val="single" w:color="E2E8F0" w:sz="4"/>
              <w:bottom w:val="single" w:color="E2E8F0" w:sz="4"/>
              <w:right w:val="single" w:color="E2E8F0" w:sz="4"/>
            </w:tcBorders>
            <w:shd w:fill="F1F5F9" w:val="clear"/>
            <w:tcMar>
              <w:top w:type="dxa" w:w="70"/>
              <w:left w:type="dxa" w:w="130"/>
              <w:bottom w:type="dxa" w:w="70"/>
              <w:right w:type="dxa" w:w="130"/>
            </w:tcMar>
            <w:vAlign w:val="center"/>
          </w:tcPr>
          <w:p>
            <w:pPr>
              <w:jc w:val="left"/>
            </w:pPr>
            <w:r>
              <w:rPr>
                <w:b/>
                <w:bCs/>
                <w:color w:val="1E293B"/>
                <w:sz w:val="20"/>
                <w:szCs w:val="20"/>
              </w:rPr>
              <w:t xml:space="preserve">Scraping disruption / blocking</w:t>
            </w:r>
          </w:p>
        </w:tc>
        <w:tc>
          <w:tcPr>
            <w:tcW w:type="dxa" w:w="3680"/>
            <w:tcBorders>
              <w:top w:val="single" w:color="E2E8F0" w:sz="4"/>
              <w:left w:val="single" w:color="E2E8F0" w:sz="4"/>
              <w:bottom w:val="single" w:color="E2E8F0" w:sz="4"/>
              <w:right w:val="single" w:color="E2E8F0" w:sz="4"/>
            </w:tcBorders>
            <w:shd w:fill="F1F5F9" w:val="clear"/>
            <w:tcMar>
              <w:top w:type="dxa" w:w="70"/>
              <w:left w:type="dxa" w:w="130"/>
              <w:bottom w:type="dxa" w:w="70"/>
              <w:right w:type="dxa" w:w="130"/>
            </w:tcMar>
            <w:vAlign w:val="center"/>
          </w:tcPr>
          <w:p>
            <w:pPr>
              <w:jc w:val="left"/>
            </w:pPr>
            <w:r>
              <w:rPr>
                <w:b w:val="false"/>
                <w:bCs w:val="false"/>
                <w:color w:val="1E293B"/>
                <w:sz w:val="20"/>
                <w:szCs w:val="20"/>
              </w:rPr>
              <w:t xml:space="preserve">Gaps in delivery price data</w:t>
            </w:r>
          </w:p>
        </w:tc>
        <w:tc>
          <w:tcPr>
            <w:tcW w:type="dxa" w:w="3080"/>
            <w:tcBorders>
              <w:top w:val="single" w:color="E2E8F0" w:sz="4"/>
              <w:left w:val="single" w:color="E2E8F0" w:sz="4"/>
              <w:bottom w:val="single" w:color="E2E8F0" w:sz="4"/>
              <w:right w:val="single" w:color="E2E8F0" w:sz="4"/>
            </w:tcBorders>
            <w:shd w:fill="F1F5F9" w:val="clear"/>
            <w:tcMar>
              <w:top w:type="dxa" w:w="70"/>
              <w:left w:type="dxa" w:w="130"/>
              <w:bottom w:type="dxa" w:w="70"/>
              <w:right w:type="dxa" w:w="130"/>
            </w:tcMar>
            <w:vAlign w:val="center"/>
          </w:tcPr>
          <w:p>
            <w:pPr>
              <w:jc w:val="left"/>
            </w:pPr>
            <w:r>
              <w:rPr>
                <w:b w:val="false"/>
                <w:bCs w:val="false"/>
                <w:color w:val="1E293B"/>
                <w:sz w:val="20"/>
                <w:szCs w:val="20"/>
              </w:rPr>
              <w:t xml:space="preserve">Adapter abstraction; pursue official partnerships</w:t>
            </w:r>
          </w:p>
        </w:tc>
      </w:tr>
      <w:tr>
        <w:tc>
          <w:tcPr>
            <w:tcW w:type="dxa" w:w="2600"/>
            <w:tcBorders>
              <w:top w:val="single" w:color="E2E8F0" w:sz="4"/>
              <w:left w:val="single" w:color="E2E8F0" w:sz="4"/>
              <w:bottom w:val="single" w:color="E2E8F0" w:sz="4"/>
              <w:right w:val="single" w:color="E2E8F0" w:sz="4"/>
            </w:tcBorders>
            <w:shd w:fill="FFFFFF" w:val="clear"/>
            <w:tcMar>
              <w:top w:type="dxa" w:w="70"/>
              <w:left w:type="dxa" w:w="130"/>
              <w:bottom w:type="dxa" w:w="70"/>
              <w:right w:type="dxa" w:w="130"/>
            </w:tcMar>
            <w:vAlign w:val="center"/>
          </w:tcPr>
          <w:p>
            <w:pPr>
              <w:jc w:val="left"/>
            </w:pPr>
            <w:r>
              <w:rPr>
                <w:b/>
                <w:bCs/>
                <w:color w:val="1E293B"/>
                <w:sz w:val="20"/>
                <w:szCs w:val="20"/>
              </w:rPr>
              <w:t xml:space="preserve">Low conversion to paid tiers</w:t>
            </w:r>
          </w:p>
        </w:tc>
        <w:tc>
          <w:tcPr>
            <w:tcW w:type="dxa" w:w="3680"/>
            <w:tcBorders>
              <w:top w:val="single" w:color="E2E8F0" w:sz="4"/>
              <w:left w:val="single" w:color="E2E8F0" w:sz="4"/>
              <w:bottom w:val="single" w:color="E2E8F0" w:sz="4"/>
              <w:right w:val="single" w:color="E2E8F0" w:sz="4"/>
            </w:tcBorders>
            <w:shd w:fill="FFFFFF" w:val="clear"/>
            <w:tcMar>
              <w:top w:type="dxa" w:w="70"/>
              <w:left w:type="dxa" w:w="130"/>
              <w:bottom w:type="dxa" w:w="70"/>
              <w:right w:type="dxa" w:w="130"/>
            </w:tcMar>
            <w:vAlign w:val="center"/>
          </w:tcPr>
          <w:p>
            <w:pPr>
              <w:jc w:val="left"/>
            </w:pPr>
            <w:r>
              <w:rPr>
                <w:b w:val="false"/>
                <w:bCs w:val="false"/>
                <w:color w:val="1E293B"/>
                <w:sz w:val="20"/>
                <w:szCs w:val="20"/>
              </w:rPr>
              <w:t xml:space="preserve">Revenue shortfall</w:t>
            </w:r>
          </w:p>
        </w:tc>
        <w:tc>
          <w:tcPr>
            <w:tcW w:type="dxa" w:w="3080"/>
            <w:tcBorders>
              <w:top w:val="single" w:color="E2E8F0" w:sz="4"/>
              <w:left w:val="single" w:color="E2E8F0" w:sz="4"/>
              <w:bottom w:val="single" w:color="E2E8F0" w:sz="4"/>
              <w:right w:val="single" w:color="E2E8F0" w:sz="4"/>
            </w:tcBorders>
            <w:shd w:fill="FFFFFF" w:val="clear"/>
            <w:tcMar>
              <w:top w:type="dxa" w:w="70"/>
              <w:left w:type="dxa" w:w="130"/>
              <w:bottom w:type="dxa" w:w="70"/>
              <w:right w:type="dxa" w:w="130"/>
            </w:tcMar>
            <w:vAlign w:val="center"/>
          </w:tcPr>
          <w:p>
            <w:pPr>
              <w:jc w:val="left"/>
            </w:pPr>
            <w:r>
              <w:rPr>
                <w:b w:val="false"/>
                <w:bCs w:val="false"/>
                <w:color w:val="1E293B"/>
                <w:sz w:val="20"/>
                <w:szCs w:val="20"/>
              </w:rPr>
              <w:t xml:space="preserve">Tier value clearly; gate premium features</w:t>
            </w:r>
          </w:p>
        </w:tc>
      </w:tr>
      <w:tr>
        <w:tc>
          <w:tcPr>
            <w:tcW w:type="dxa" w:w="2600"/>
            <w:tcBorders>
              <w:top w:val="single" w:color="E2E8F0" w:sz="4"/>
              <w:left w:val="single" w:color="E2E8F0" w:sz="4"/>
              <w:bottom w:val="single" w:color="E2E8F0" w:sz="4"/>
              <w:right w:val="single" w:color="E2E8F0" w:sz="4"/>
            </w:tcBorders>
            <w:shd w:fill="F1F5F9" w:val="clear"/>
            <w:tcMar>
              <w:top w:type="dxa" w:w="70"/>
              <w:left w:type="dxa" w:w="130"/>
              <w:bottom w:type="dxa" w:w="70"/>
              <w:right w:type="dxa" w:w="130"/>
            </w:tcMar>
            <w:vAlign w:val="center"/>
          </w:tcPr>
          <w:p>
            <w:pPr>
              <w:jc w:val="left"/>
            </w:pPr>
            <w:r>
              <w:rPr>
                <w:b/>
                <w:bCs/>
                <w:color w:val="1E293B"/>
                <w:sz w:val="20"/>
                <w:szCs w:val="20"/>
              </w:rPr>
              <w:t xml:space="preserve">Data accuracy disputes</w:t>
            </w:r>
          </w:p>
        </w:tc>
        <w:tc>
          <w:tcPr>
            <w:tcW w:type="dxa" w:w="3680"/>
            <w:tcBorders>
              <w:top w:val="single" w:color="E2E8F0" w:sz="4"/>
              <w:left w:val="single" w:color="E2E8F0" w:sz="4"/>
              <w:bottom w:val="single" w:color="E2E8F0" w:sz="4"/>
              <w:right w:val="single" w:color="E2E8F0" w:sz="4"/>
            </w:tcBorders>
            <w:shd w:fill="F1F5F9" w:val="clear"/>
            <w:tcMar>
              <w:top w:type="dxa" w:w="70"/>
              <w:left w:type="dxa" w:w="130"/>
              <w:bottom w:type="dxa" w:w="70"/>
              <w:right w:type="dxa" w:w="130"/>
            </w:tcMar>
            <w:vAlign w:val="center"/>
          </w:tcPr>
          <w:p>
            <w:pPr>
              <w:jc w:val="left"/>
            </w:pPr>
            <w:r>
              <w:rPr>
                <w:b w:val="false"/>
                <w:bCs w:val="false"/>
                <w:color w:val="1E293B"/>
                <w:sz w:val="20"/>
                <w:szCs w:val="20"/>
              </w:rPr>
              <w:t xml:space="preserve">Trust erosion</w:t>
            </w:r>
          </w:p>
        </w:tc>
        <w:tc>
          <w:tcPr>
            <w:tcW w:type="dxa" w:w="3080"/>
            <w:tcBorders>
              <w:top w:val="single" w:color="E2E8F0" w:sz="4"/>
              <w:left w:val="single" w:color="E2E8F0" w:sz="4"/>
              <w:bottom w:val="single" w:color="E2E8F0" w:sz="4"/>
              <w:right w:val="single" w:color="E2E8F0" w:sz="4"/>
            </w:tcBorders>
            <w:shd w:fill="F1F5F9" w:val="clear"/>
            <w:tcMar>
              <w:top w:type="dxa" w:w="70"/>
              <w:left w:type="dxa" w:w="130"/>
              <w:bottom w:type="dxa" w:w="70"/>
              <w:right w:type="dxa" w:w="130"/>
            </w:tcMar>
            <w:vAlign w:val="center"/>
          </w:tcPr>
          <w:p>
            <w:pPr>
              <w:jc w:val="left"/>
            </w:pPr>
            <w:r>
              <w:rPr>
                <w:b w:val="false"/>
                <w:bCs w:val="false"/>
                <w:color w:val="1E293B"/>
                <w:sz w:val="20"/>
                <w:szCs w:val="20"/>
              </w:rPr>
              <w:t xml:space="preserve">Trust scoring, recency weighting, reporting</w:t>
            </w:r>
          </w:p>
        </w:tc>
      </w:tr>
      <w:tr>
        <w:tc>
          <w:tcPr>
            <w:tcW w:type="dxa" w:w="2600"/>
            <w:tcBorders>
              <w:top w:val="single" w:color="E2E8F0" w:sz="4"/>
              <w:left w:val="single" w:color="E2E8F0" w:sz="4"/>
              <w:bottom w:val="single" w:color="E2E8F0" w:sz="4"/>
              <w:right w:val="single" w:color="E2E8F0" w:sz="4"/>
            </w:tcBorders>
            <w:shd w:fill="FFFFFF" w:val="clear"/>
            <w:tcMar>
              <w:top w:type="dxa" w:w="70"/>
              <w:left w:type="dxa" w:w="130"/>
              <w:bottom w:type="dxa" w:w="70"/>
              <w:right w:type="dxa" w:w="130"/>
            </w:tcMar>
            <w:vAlign w:val="center"/>
          </w:tcPr>
          <w:p>
            <w:pPr>
              <w:jc w:val="left"/>
            </w:pPr>
            <w:r>
              <w:rPr>
                <w:b w:val="false"/>
                <w:bCs w:val="false"/>
                <w:color w:val="1E293B"/>
                <w:sz w:val="20"/>
                <w:szCs w:val="20"/>
              </w:rPr>
              <w:t xml:space="preserve">Ads perceived as intrusive</w:t>
            </w:r>
          </w:p>
        </w:tc>
        <w:tc>
          <w:tcPr>
            <w:tcW w:type="dxa" w:w="3680"/>
            <w:tcBorders>
              <w:top w:val="single" w:color="E2E8F0" w:sz="4"/>
              <w:left w:val="single" w:color="E2E8F0" w:sz="4"/>
              <w:bottom w:val="single" w:color="E2E8F0" w:sz="4"/>
              <w:right w:val="single" w:color="E2E8F0" w:sz="4"/>
            </w:tcBorders>
            <w:shd w:fill="FFFFFF" w:val="clear"/>
            <w:tcMar>
              <w:top w:type="dxa" w:w="70"/>
              <w:left w:type="dxa" w:w="130"/>
              <w:bottom w:type="dxa" w:w="70"/>
              <w:right w:type="dxa" w:w="130"/>
            </w:tcMar>
            <w:vAlign w:val="center"/>
          </w:tcPr>
          <w:p>
            <w:pPr>
              <w:jc w:val="left"/>
            </w:pPr>
            <w:r>
              <w:rPr>
                <w:b w:val="false"/>
                <w:bCs w:val="false"/>
                <w:color w:val="1E293B"/>
                <w:sz w:val="20"/>
                <w:szCs w:val="20"/>
              </w:rPr>
              <w:t xml:space="preserve">Reduced engagement, lower conversion to paid tiers</w:t>
            </w:r>
          </w:p>
        </w:tc>
        <w:tc>
          <w:tcPr>
            <w:tcW w:type="dxa" w:w="3080"/>
            <w:tcBorders>
              <w:top w:val="single" w:color="E2E8F0" w:sz="4"/>
              <w:left w:val="single" w:color="E2E8F0" w:sz="4"/>
              <w:bottom w:val="single" w:color="E2E8F0" w:sz="4"/>
              <w:right w:val="single" w:color="E2E8F0" w:sz="4"/>
            </w:tcBorders>
            <w:shd w:fill="FFFFFF" w:val="clear"/>
            <w:tcMar>
              <w:top w:type="dxa" w:w="70"/>
              <w:left w:type="dxa" w:w="130"/>
              <w:bottom w:type="dxa" w:w="70"/>
              <w:right w:type="dxa" w:w="130"/>
            </w:tcMar>
            <w:vAlign w:val="center"/>
          </w:tcPr>
          <w:p>
            <w:pPr>
              <w:jc w:val="left"/>
            </w:pPr>
            <w:r>
              <w:rPr>
                <w:b w:val="false"/>
                <w:bCs w:val="false"/>
                <w:color w:val="1E293B"/>
                <w:sz w:val="20"/>
                <w:szCs w:val="20"/>
              </w:rPr>
              <w:t xml:space="preserve">Frequency capping; non-intrusive placements; clear ad-free upgrade path</w:t>
            </w:r>
          </w:p>
        </w:tc>
      </w:tr>
    </w:tbl>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6" w:space="4"/>
      </w:pBdr>
      <w:tabs>
        <w:tab w:val="right" w:pos="9360"/>
      </w:tabs>
    </w:pPr>
    <w:r>
      <w:rPr>
        <w:color w:val="94A3B8"/>
        <w:sz w:val="16"/>
        <w:szCs w:val="16"/>
      </w:rPr>
      <w:t xml:space="preserve">Confidential — Shoppa Project</w:t>
    </w:r>
    <w:r>
      <w:rPr>
        <w:color w:val="94A3B8"/>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6" w:space="4"/>
      </w:pBdr>
      <w:tabs>
        <w:tab w:val="right" w:pos="9360"/>
      </w:tabs>
    </w:pPr>
    <w:r>
      <w:rPr>
        <w:color w:val="94A3B8"/>
        <w:sz w:val="16"/>
        <w:szCs w:val="16"/>
      </w:rPr>
      <w:t xml:space="preserve">Confidential — Shoppa Project</w:t>
    </w:r>
    <w:r>
      <w:rPr>
        <w:color w:val="94A3B8"/>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6" w:space="4"/>
      </w:pBdr>
      <w:tabs>
        <w:tab w:val="right" w:pos="9360"/>
      </w:tabs>
    </w:pPr>
    <w:r>
      <w:rPr>
        <w:b/>
        <w:bCs/>
        <w:color w:val="0B1220"/>
        <w:sz w:val="18"/>
        <w:szCs w:val="18"/>
      </w:rPr>
      <w:t xml:space="preserve">SHOPPA</w:t>
    </w:r>
    <w:r>
      <w:rPr>
        <w:color w:val="94A3B8"/>
        <w:sz w:val="18"/>
        <w:szCs w:val="18"/>
      </w:rPr>
      <w:t xml:space="preserve">	Business Requirements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6" w:space="4"/>
      </w:pBdr>
      <w:tabs>
        <w:tab w:val="right" w:pos="9360"/>
      </w:tabs>
    </w:pPr>
    <w:r>
      <w:rPr>
        <w:b/>
        <w:bCs/>
        <w:color w:val="0B1220"/>
        <w:sz w:val="18"/>
        <w:szCs w:val="18"/>
      </w:rPr>
      <w:t xml:space="preserve">SHOPPA</w:t>
    </w:r>
    <w:r>
      <w:rPr>
        <w:color w:val="94A3B8"/>
        <w:sz w:val="18"/>
        <w:szCs w:val="18"/>
      </w:rPr>
      <w:t xml:space="preserve">	Business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80"/>
      </w:pPr>
      <w:rPr>
        <w:color w:val="B45309"/>
      </w:rPr>
    </w:lvl>
    <w:lvl w:ilvl="1" w15:tentative="1">
      <w:start w:val="1"/>
      <w:numFmt w:val="bullet"/>
      <w:lvlText w:val="–"/>
      <w:lvlJc w:val="left"/>
      <w:pPr>
        <w:ind w:left="980" w:hanging="280"/>
      </w:pPr>
    </w:lvl>
  </w:abstractNum>
  <w:abstractNum w:abstractNumId="3" w15:restartNumberingAfterBreak="0">
    <w:multiLevelType w:val="hybridMultilevel"/>
    <w:lvl w:ilvl="0" w15:tentative="1">
      <w:start w:val="1"/>
      <w:numFmt w:val="decimal"/>
      <w:lvlText w:val="%1."/>
      <w:lvlJc w:val="left"/>
      <w:pPr>
        <w:ind w:left="520" w:hanging="300"/>
      </w:pPr>
      <w:rPr>
        <w:b/>
        <w:bCs/>
        <w:color w:val="B4530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libri" w:cs="Calibri" w:eastAsia="Calibri" w:hAnsi="Calibri"/>
      <w:b/>
      <w:bCs/>
      <w:color w:val="0B1220"/>
      <w:sz w:val="56"/>
      <w:szCs w:val="56"/>
    </w:rPr>
  </w:style>
  <w:style w:type="paragraph" w:styleId="Heading1">
    <w:name w:val="Heading 1"/>
    <w:basedOn w:val="Normal"/>
    <w:next w:val="Normal"/>
    <w:qFormat/>
    <w:pPr>
      <w:pBdr>
        <w:bottom w:val="single" w:color="F59E0B" w:sz="18" w:space="6"/>
      </w:pBdr>
      <w:spacing w:after="160" w:before="320"/>
      <w:outlineLvl w:val="0"/>
    </w:pPr>
    <w:rPr>
      <w:rFonts w:ascii="Calibri" w:cs="Calibri" w:eastAsia="Calibri" w:hAnsi="Calibri"/>
      <w:b/>
      <w:bCs/>
      <w:color w:val="0B1220"/>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B45309"/>
      <w:sz w:val="26"/>
      <w:szCs w:val="26"/>
    </w:rPr>
  </w:style>
  <w:style w:type="paragraph" w:styleId="Heading3">
    <w:name w:val="Heading 3"/>
    <w:basedOn w:val="Normal"/>
    <w:next w:val="Normal"/>
    <w:qFormat/>
    <w:pPr>
      <w:spacing w:after="90" w:before="180"/>
      <w:outlineLvl w:val="2"/>
    </w:pPr>
    <w:rPr>
      <w:rFonts w:ascii="Calibri" w:cs="Calibri" w:eastAsia="Calibri" w:hAnsi="Calibri"/>
      <w:b/>
      <w:bCs/>
      <w:color w:val="475569"/>
      <w:sz w:val="23"/>
      <w:szCs w:val="23"/>
    </w:rPr>
  </w:style>
  <w:style w:type="paragraph" w:styleId="Caption">
    <w:name w:val="Caption"/>
    <w:basedOn w:val="Normal"/>
    <w:next w:val="Normal"/>
    <w:pPr>
      <w:spacing w:after="200" w:before="60"/>
      <w:jc w:val="center"/>
    </w:pPr>
    <w:rPr>
      <w:i/>
      <w:iCs/>
      <w:color w:val="94A3B8"/>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dd582d856c4f6213a45278f630831514edd5db5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2026-06-26T22:09:37.986Z</dcterms:created>
  <dcterms:modified xsi:type="dcterms:W3CDTF">2026-06-26T22:09:37.987Z</dcterms:modified>
</cp:coreProperties>
</file>

<file path=docProps/custom.xml><?xml version="1.0" encoding="utf-8"?>
<Properties xmlns="http://schemas.openxmlformats.org/officeDocument/2006/custom-properties" xmlns:vt="http://schemas.openxmlformats.org/officeDocument/2006/docPropsVTypes"/>
</file>