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  <w:r>
        <w:rPr>
          <w:b/>
          <w:bCs/>
          <w:color w:val="B45309"/>
          <w:spacing w:val="60"/>
          <w:sz w:val="40"/>
          <w:szCs w:val="40"/>
        </w:rPr>
        <w:t xml:space="preserve">SHOPPA</w:t>
      </w:r>
    </w:p>
    <w:p>
      <w:pPr>
        <w:pBdr>
          <w:bottom w:val="single" w:color="F59E0B" w:sz="24" w:space="8"/>
        </w:pBdr>
        <w:spacing w:after="240"/>
      </w:pPr>
      <w:r>
        <w:rPr>
          <w:color w:val="94A3B8"/>
          <w:sz w:val="22"/>
          <w:szCs w:val="22"/>
        </w:rPr>
        <w:t xml:space="preserve">Shopping Intelligence Platform</w:t>
      </w:r>
    </w:p>
    <w:p>
      <w:pPr>
        <w:spacing w:after="120" w:before="360"/>
      </w:pPr>
      <w:r>
        <w:rPr>
          <w:b/>
          <w:bCs/>
          <w:color w:val="0B1220"/>
          <w:sz w:val="60"/>
          <w:szCs w:val="60"/>
        </w:rPr>
        <w:t xml:space="preserve">QA &amp; Test Plan</w:t>
      </w:r>
    </w:p>
    <w:p>
      <w:pPr>
        <w:spacing w:after="600"/>
      </w:pPr>
      <w:r>
        <w:rPr>
          <w:color w:val="475569"/>
          <w:sz w:val="26"/>
          <w:szCs w:val="26"/>
        </w:rPr>
        <w:t xml:space="preserve">Test strategy, traceability, and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475569"/>
                <w:sz w:val="19"/>
                <w:szCs w:val="19"/>
              </w:rPr>
              <w:t xml:space="preserve">Document</w:t>
            </w:r>
          </w:p>
        </w:tc>
        <w:tc>
          <w:tcPr>
            <w:tcW w:type="dxa" w:w="6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Quality Assurance &amp; Test Plan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475569"/>
                <w:sz w:val="19"/>
                <w:szCs w:val="19"/>
              </w:rPr>
              <w:t xml:space="preserve">Project</w:t>
            </w:r>
          </w:p>
        </w:tc>
        <w:tc>
          <w:tcPr>
            <w:tcW w:type="dxa" w:w="6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Shoppa — Shopping Intelligence Platform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475569"/>
                <w:sz w:val="19"/>
                <w:szCs w:val="19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475569"/>
                <w:sz w:val="19"/>
                <w:szCs w:val="19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Draft for review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475569"/>
                <w:sz w:val="19"/>
                <w:szCs w:val="19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QA Engineering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475569"/>
                <w:sz w:val="19"/>
                <w:szCs w:val="19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June 2026</w:t>
            </w:r>
          </w:p>
        </w:tc>
      </w:tr>
    </w:tbl>
    <w:p>
      <w:r>
        <w:br w:type="page"/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Introduction</w:t>
      </w:r>
    </w:p>
    <w:p>
      <w:pPr>
        <w:pStyle w:val="Heading2"/>
      </w:pPr>
      <w:r>
        <w:t xml:space="preserve">1.1 Purpose</w:t>
      </w:r>
    </w:p>
    <w:p>
      <w:pPr>
        <w:spacing w:after="120" w:line="276"/>
      </w:pPr>
      <w:r>
        <w:t xml:space="preserve">This Test Plan defines the quality strategy, scope, approach, and test cases for Shoppa. It maps each functional requirement from the SRS to verifiable test cases and establishes the gates a build must pass before release.</w:t>
      </w:r>
    </w:p>
    <w:p>
      <w:pPr>
        <w:pStyle w:val="Heading2"/>
      </w:pPr>
      <w:r>
        <w:t xml:space="preserve">1.2 Scope</w:t>
      </w:r>
    </w:p>
    <w:p>
      <w:pPr>
        <w:spacing w:after="120" w:line="276"/>
      </w:pPr>
      <w:r>
        <w:t xml:space="preserve">Testing covers the mobile application, admin web console, backend API, real-time services, offline synchronization, and external integrations (delivery adapters, payments, push). Non-functional testing covers performance, security, offline resilience, and localization.</w:t>
      </w:r>
    </w:p>
    <w:p>
      <w:pPr>
        <w:pStyle w:val="Heading1"/>
      </w:pPr>
      <w:r>
        <w:t xml:space="preserve">2. Test Strategy</w:t>
      </w:r>
    </w:p>
    <w:p>
      <w:pPr>
        <w:spacing w:after="120" w:line="276"/>
      </w:pPr>
      <w:r>
        <w:t xml:space="preserve">Shoppa follows a test-pyramid approach: a broad base of fast unit tests, a substantial layer of integration and API contract tests, focused component tests on the client, and a thin top of end-to-end journeys. Quality gates run automatically at each stage of the pipeline.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3514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Figure 1 — Test pyramid and pipeline quality gates.</w:t>
      </w:r>
    </w:p>
    <w:p>
      <w:pPr>
        <w:pStyle w:val="Heading1"/>
      </w:pPr>
      <w:r>
        <w:t xml:space="preserve">3. Test Levels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220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220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220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Tooling (indicative)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Unit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Functions, models, commission/reconciliation rules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pytest, Jasmine/Karma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API endpoints, DB, Celery tasks, webhooks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pytest + DRF test client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Contract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Adapter and API contracts between services/clients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schema/contract tests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Component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Angular/Ionic components and services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Karma, Testing Library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End-to-end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Critical user journeys across the stack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Cypress / Playwright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Non-functional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Performance, security, offline, localization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k6, OWASP ZAP, manual</w:t>
            </w:r>
          </w:p>
        </w:tc>
      </w:tr>
    </w:tbl>
    <w:p>
      <w:pPr>
        <w:pStyle w:val="Heading1"/>
      </w:pPr>
      <w:r>
        <w:t xml:space="preserve">4. Test Types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 w:val="false"/>
          <w:bCs w:val="false"/>
        </w:rPr>
        <w:t xml:space="preserve">Functional testing — verifies each requirement behaves as specified.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 w:val="false"/>
          <w:bCs w:val="false"/>
        </w:rPr>
        <w:t xml:space="preserve">Regression testing — automated suite guards against reintroduced defects.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 w:val="false"/>
          <w:bCs w:val="false"/>
        </w:rPr>
        <w:t xml:space="preserve">Offline &amp; sync testing — list operations offline, conflict resolution on reconnect.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 w:val="false"/>
          <w:bCs w:val="false"/>
        </w:rPr>
        <w:t xml:space="preserve">Performance testing — API latency and real-time propagation under load.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 w:val="false"/>
          <w:bCs w:val="false"/>
        </w:rPr>
        <w:t xml:space="preserve">Security testing — auth, authorization, input validation, rate limiting.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 w:val="false"/>
          <w:bCs w:val="false"/>
        </w:rPr>
        <w:t xml:space="preserve">Localization testing — currency, tax, and language correctness per region.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 w:val="false"/>
          <w:bCs w:val="false"/>
        </w:rPr>
        <w:t xml:space="preserve">User acceptance testing (UAT) — stakeholder validation of key journeys.</w:t>
      </w:r>
    </w:p>
    <w:p>
      <w:r>
        <w:br w:type="page"/>
      </w:r>
    </w:p>
    <w:p>
      <w:pPr>
        <w:pStyle w:val="Heading1"/>
      </w:pPr>
      <w:r>
        <w:t xml:space="preserve">5. Requirement Traceability &amp; Test Cases</w:t>
      </w:r>
    </w:p>
    <w:p>
      <w:pPr>
        <w:spacing w:after="120" w:line="276"/>
      </w:pPr>
      <w:r>
        <w:rPr>
          <w:i/>
          <w:iCs/>
          <w:color w:val="475569"/>
        </w:rPr>
        <w:t xml:space="preserve">Each test case traces to a functional requirement (FR) from the SRS. Priority mirrors the requirement's MoSCoW level.</w:t>
      </w:r>
    </w:p>
    <w:p>
      <w:pPr>
        <w:pStyle w:val="Heading2"/>
      </w:pPr>
      <w:r>
        <w:t xml:space="preserve">5.1 Accounts &amp;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100"/>
        <w:gridCol w:w="5360"/>
        <w:gridCol w:w="1800"/>
      </w:tblGrid>
      <w:tr>
        <w:trPr>
          <w:tblHeader/>
        </w:trPr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220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220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220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220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TC-1.1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75569"/>
                <w:sz w:val="20"/>
                <w:szCs w:val="20"/>
              </w:rPr>
              <w:t xml:space="preserve">FR-1.1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Register with valid email/password creates a Personal account.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Functional</w:t>
            </w:r>
          </w:p>
        </w:tc>
      </w:tr>
      <w:tr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TC-1.2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75569"/>
                <w:sz w:val="20"/>
                <w:szCs w:val="20"/>
              </w:rPr>
              <w:t xml:space="preserve">FR-1.1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Register with an existing email is rejected with a clear error.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Negative</w:t>
            </w:r>
          </w:p>
        </w:tc>
      </w:tr>
      <w:tr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TC-1.3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75569"/>
                <w:sz w:val="20"/>
                <w:szCs w:val="20"/>
              </w:rPr>
              <w:t xml:space="preserve">FR-1.3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Expired access token is refreshed transparently without re-login.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Integration</w:t>
            </w:r>
          </w:p>
        </w:tc>
      </w:tr>
      <w:tr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TC-1.4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75569"/>
                <w:sz w:val="20"/>
                <w:szCs w:val="20"/>
              </w:rPr>
              <w:t xml:space="preserve">FR-1.4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New user is assigned the correct region and locale.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Functional</w:t>
            </w:r>
          </w:p>
        </w:tc>
      </w:tr>
      <w:tr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TC-1.5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75569"/>
                <w:sz w:val="20"/>
                <w:szCs w:val="20"/>
              </w:rPr>
              <w:t xml:space="preserve">FR-1.5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Personal account can upgrade to Professional and gains pro features.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Functional</w:t>
            </w:r>
          </w:p>
        </w:tc>
      </w:tr>
    </w:tbl>
    <w:p>
      <w:pPr>
        <w:pStyle w:val="Heading2"/>
      </w:pPr>
      <w:r>
        <w:t xml:space="preserve">5.2 Shopping Lists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100"/>
        <w:gridCol w:w="5360"/>
        <w:gridCol w:w="1800"/>
      </w:tblGrid>
      <w:tr>
        <w:trPr>
          <w:tblHeader/>
        </w:trPr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220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220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220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220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TC-2.1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75569"/>
                <w:sz w:val="20"/>
                <w:szCs w:val="20"/>
              </w:rPr>
              <w:t xml:space="preserve">FR-2.1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Create lists in each category; category persists.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Functional</w:t>
            </w:r>
          </w:p>
        </w:tc>
      </w:tr>
      <w:tr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TC-2.2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75569"/>
                <w:sz w:val="20"/>
                <w:szCs w:val="20"/>
              </w:rPr>
              <w:t xml:space="preserve">FR-2.2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Add, edit, remove, reorder items with quantity, unit, notes.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Functional</w:t>
            </w:r>
          </w:p>
        </w:tc>
      </w:tr>
      <w:tr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TC-2.3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75569"/>
                <w:sz w:val="20"/>
                <w:szCs w:val="20"/>
              </w:rPr>
              <w:t xml:space="preserve">FR-2.3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Recurring list carries over unchecked items on reset.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Functional</w:t>
            </w:r>
          </w:p>
        </w:tc>
      </w:tr>
      <w:tr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TC-2.4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75569"/>
                <w:sz w:val="20"/>
                <w:szCs w:val="20"/>
              </w:rPr>
              <w:t xml:space="preserve">FR-2.4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Save a list as a template and instantiate a new list from it.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Functional</w:t>
            </w:r>
          </w:p>
        </w:tc>
      </w:tr>
      <w:tr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TC-2.5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75569"/>
                <w:sz w:val="20"/>
                <w:szCs w:val="20"/>
              </w:rPr>
              <w:t xml:space="preserve">FR-2.6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Roll back a list to a previous version restores prior state.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Functional</w:t>
            </w:r>
          </w:p>
        </w:tc>
      </w:tr>
    </w:tbl>
    <w:p>
      <w:pPr>
        <w:pStyle w:val="Heading2"/>
      </w:pPr>
      <w:r>
        <w:t xml:space="preserve">5.3 Collaboration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100"/>
        <w:gridCol w:w="5360"/>
        <w:gridCol w:w="1800"/>
      </w:tblGrid>
      <w:tr>
        <w:trPr>
          <w:tblHeader/>
        </w:trPr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220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220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220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220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TC-3.1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75569"/>
                <w:sz w:val="20"/>
                <w:szCs w:val="20"/>
              </w:rPr>
              <w:t xml:space="preserve">FR-3.1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Share a list at view permission; collaborator cannot edit.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Functional</w:t>
            </w:r>
          </w:p>
        </w:tc>
      </w:tr>
      <w:tr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TC-3.2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75569"/>
                <w:sz w:val="20"/>
                <w:szCs w:val="20"/>
              </w:rPr>
              <w:t xml:space="preserve">FR-3.2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Edit by one collaborator appears for another within one second.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Performance</w:t>
            </w:r>
          </w:p>
        </w:tc>
      </w:tr>
      <w:tr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TC-3.3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75569"/>
                <w:sz w:val="20"/>
                <w:szCs w:val="20"/>
              </w:rPr>
              <w:t xml:space="preserve">FR-3.3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Activity feed records add/remove with author and timestamp.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Functional</w:t>
            </w:r>
          </w:p>
        </w:tc>
      </w:tr>
      <w:tr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TC-3.4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75569"/>
                <w:sz w:val="20"/>
                <w:szCs w:val="20"/>
              </w:rPr>
              <w:t xml:space="preserve">FR-3.4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Messages in a list chat thread deliver to all collaborators.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Integration</w:t>
            </w:r>
          </w:p>
        </w:tc>
      </w:tr>
      <w:tr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TC-3.5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75569"/>
                <w:sz w:val="20"/>
                <w:szCs w:val="20"/>
              </w:rPr>
              <w:t xml:space="preserve">FR-3.2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Concurrent edits to the same item resolve deterministically.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Edge case</w:t>
            </w:r>
          </w:p>
        </w:tc>
      </w:tr>
    </w:tbl>
    <w:p>
      <w:pPr>
        <w:pStyle w:val="Heading2"/>
      </w:pPr>
      <w:r>
        <w:t xml:space="preserve">5.4 In-Store Shopping Mode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100"/>
        <w:gridCol w:w="5360"/>
        <w:gridCol w:w="1800"/>
      </w:tblGrid>
      <w:tr>
        <w:trPr>
          <w:tblHeader/>
        </w:trPr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220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220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220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220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TC-4.1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75569"/>
                <w:sz w:val="20"/>
                <w:szCs w:val="20"/>
              </w:rPr>
              <w:t xml:space="preserve">FR-4.2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With network disabled, list opens and items can be checked off.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Offline</w:t>
            </w:r>
          </w:p>
        </w:tc>
      </w:tr>
      <w:tr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TC-4.2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75569"/>
                <w:sz w:val="20"/>
                <w:szCs w:val="20"/>
              </w:rPr>
              <w:t xml:space="preserve">FR-4.2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Queued offline changes sync correctly on reconnect.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Offline</w:t>
            </w:r>
          </w:p>
        </w:tc>
      </w:tr>
      <w:tr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TC-4.3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75569"/>
                <w:sz w:val="20"/>
                <w:szCs w:val="20"/>
              </w:rPr>
              <w:t xml:space="preserve">FR-4.3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Checking off an item prompts for and stores the actual price.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Functional</w:t>
            </w:r>
          </w:p>
        </w:tc>
      </w:tr>
      <w:tr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TC-4.4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75569"/>
                <w:sz w:val="20"/>
                <w:szCs w:val="20"/>
              </w:rPr>
              <w:t xml:space="preserve">FR-4.4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Session summary totals spend and savings accurately.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Functional</w:t>
            </w:r>
          </w:p>
        </w:tc>
      </w:tr>
      <w:tr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TC-4.5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75569"/>
                <w:sz w:val="20"/>
                <w:szCs w:val="20"/>
              </w:rPr>
              <w:t xml:space="preserve">FR-4.2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Conflicting offline edits resolve last-write-wins by field.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Edge case</w:t>
            </w:r>
          </w:p>
        </w:tc>
      </w:tr>
    </w:tbl>
    <w:p>
      <w:pPr>
        <w:pStyle w:val="Heading2"/>
      </w:pPr>
      <w:r>
        <w:t xml:space="preserve">5.5 Price Intelligence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100"/>
        <w:gridCol w:w="5360"/>
        <w:gridCol w:w="1800"/>
      </w:tblGrid>
      <w:tr>
        <w:trPr>
          <w:tblHeader/>
        </w:trPr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220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220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220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220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TC-5.1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75569"/>
                <w:sz w:val="20"/>
                <w:szCs w:val="20"/>
              </w:rPr>
              <w:t xml:space="preserve">FR-5.1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Crowd-sourced, scraped, and store prices are ingested.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Integration</w:t>
            </w:r>
          </w:p>
        </w:tc>
      </w:tr>
      <w:tr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TC-5.2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75569"/>
                <w:sz w:val="20"/>
                <w:szCs w:val="20"/>
              </w:rPr>
              <w:t xml:space="preserve">FR-5.2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Conflicting prices reconcile by recency and trust score.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Functional</w:t>
            </w:r>
          </w:p>
        </w:tc>
      </w:tr>
      <w:tr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TC-5.3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75569"/>
                <w:sz w:val="20"/>
                <w:szCs w:val="20"/>
              </w:rPr>
              <w:t xml:space="preserve">FR-5.2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Outlier price beyond band is quarantined, not surfaced.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Edge case</w:t>
            </w:r>
          </w:p>
        </w:tc>
      </w:tr>
      <w:tr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TC-5.4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75569"/>
                <w:sz w:val="20"/>
                <w:szCs w:val="20"/>
              </w:rPr>
              <w:t xml:space="preserve">FR-5.3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List comparison ranks stores and shows savings.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Functional</w:t>
            </w:r>
          </w:p>
        </w:tc>
      </w:tr>
      <w:tr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TC-5.5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75569"/>
                <w:sz w:val="20"/>
                <w:szCs w:val="20"/>
              </w:rPr>
              <w:t xml:space="preserve">FR-5.4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Price drop on a saved item triggers a notification.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Integration</w:t>
            </w:r>
          </w:p>
        </w:tc>
      </w:tr>
    </w:tbl>
    <w:p>
      <w:pPr>
        <w:pStyle w:val="Heading2"/>
      </w:pPr>
      <w:r>
        <w:t xml:space="preserve">5.6 Delivery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100"/>
        <w:gridCol w:w="5360"/>
        <w:gridCol w:w="1800"/>
      </w:tblGrid>
      <w:tr>
        <w:trPr>
          <w:tblHeader/>
        </w:trPr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220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220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220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220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TC-6.1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75569"/>
                <w:sz w:val="20"/>
                <w:szCs w:val="20"/>
              </w:rPr>
              <w:t xml:space="preserve">FR-6.1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Availability is checked across all configured adapters.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Integration</w:t>
            </w:r>
          </w:p>
        </w:tc>
      </w:tr>
      <w:tr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TC-6.2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75569"/>
                <w:sz w:val="20"/>
                <w:szCs w:val="20"/>
              </w:rPr>
              <w:t xml:space="preserve">FR-6.2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Delivery comparison returns prices and ETAs per platform.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Functional</w:t>
            </w:r>
          </w:p>
        </w:tc>
      </w:tr>
      <w:tr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TC-6.3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75569"/>
                <w:sz w:val="20"/>
                <w:szCs w:val="20"/>
              </w:rPr>
              <w:t xml:space="preserve">FR-6.3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Order link carries affiliate tracking parameters.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Functional</w:t>
            </w:r>
          </w:p>
        </w:tc>
      </w:tr>
      <w:tr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TC-6.4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75569"/>
                <w:sz w:val="20"/>
                <w:szCs w:val="20"/>
              </w:rPr>
              <w:t xml:space="preserve">FR-6.4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Adding a new adapter requires no change to core services.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Architecture</w:t>
            </w:r>
          </w:p>
        </w:tc>
      </w:tr>
      <w:tr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TC-6.5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75569"/>
                <w:sz w:val="20"/>
                <w:szCs w:val="20"/>
              </w:rPr>
              <w:t xml:space="preserve">FR-6.1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Adapter failure degrades gracefully with partial results.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Resilience</w:t>
            </w:r>
          </w:p>
        </w:tc>
      </w:tr>
    </w:tbl>
    <w:p>
      <w:pPr>
        <w:pStyle w:val="Heading2"/>
      </w:pPr>
      <w:r>
        <w:t xml:space="preserve">5.7 Promotions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100"/>
        <w:gridCol w:w="5360"/>
        <w:gridCol w:w="1800"/>
      </w:tblGrid>
      <w:tr>
        <w:trPr>
          <w:tblHeader/>
        </w:trPr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220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220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220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220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TC-7.1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75569"/>
                <w:sz w:val="20"/>
                <w:szCs w:val="20"/>
              </w:rPr>
              <w:t xml:space="preserve">FR-7.1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Promotion targets only users whose lists contain the product.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Functional</w:t>
            </w:r>
          </w:p>
        </w:tc>
      </w:tr>
      <w:tr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TC-7.2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75569"/>
                <w:sz w:val="20"/>
                <w:szCs w:val="20"/>
              </w:rPr>
              <w:t xml:space="preserve">FR-7.3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Opting out of a store suppresses its promotions.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Functional</w:t>
            </w:r>
          </w:p>
        </w:tc>
      </w:tr>
    </w:tbl>
    <w:p>
      <w:pPr>
        <w:pStyle w:val="Heading2"/>
      </w:pPr>
      <w:r>
        <w:t xml:space="preserve">5.8 Professional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100"/>
        <w:gridCol w:w="5360"/>
        <w:gridCol w:w="1800"/>
      </w:tblGrid>
      <w:tr>
        <w:trPr>
          <w:tblHeader/>
        </w:trPr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220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220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220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220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TC-8.1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75569"/>
                <w:sz w:val="20"/>
                <w:szCs w:val="20"/>
              </w:rPr>
              <w:t xml:space="preserve">FR-8.1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Scaling a list by guest count adjusts all quantities correctly.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Functional</w:t>
            </w:r>
          </w:p>
        </w:tc>
      </w:tr>
      <w:tr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TC-8.2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75569"/>
                <w:sz w:val="20"/>
                <w:szCs w:val="20"/>
              </w:rPr>
              <w:t xml:space="preserve">FR-8.2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Published list is discoverable and can be cloned by another user.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Functional</w:t>
            </w:r>
          </w:p>
        </w:tc>
      </w:tr>
      <w:tr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TC-8.3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75569"/>
                <w:sz w:val="20"/>
                <w:szCs w:val="20"/>
              </w:rPr>
              <w:t xml:space="preserve">FR-8.4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Export produces valid PDF and CSV of the list.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Functional</w:t>
            </w:r>
          </w:p>
        </w:tc>
      </w:tr>
    </w:tbl>
    <w:p>
      <w:pPr>
        <w:pStyle w:val="Heading2"/>
      </w:pPr>
      <w:r>
        <w:t xml:space="preserve">5.9 Subscriptions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100"/>
        <w:gridCol w:w="5360"/>
        <w:gridCol w:w="1800"/>
      </w:tblGrid>
      <w:tr>
        <w:trPr>
          <w:tblHeader/>
        </w:trPr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220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220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220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220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TC-9.1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75569"/>
                <w:sz w:val="20"/>
                <w:szCs w:val="20"/>
              </w:rPr>
              <w:t xml:space="preserve">FR-9.1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 gated feature is hidden on Free and visible on the paid tier.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Functional</w:t>
            </w:r>
          </w:p>
        </w:tc>
      </w:tr>
      <w:tr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TC-9.2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75569"/>
                <w:sz w:val="20"/>
                <w:szCs w:val="20"/>
              </w:rPr>
              <w:t xml:space="preserve">FR-9.2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Successful Stripe payment activates the subscription.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Integration</w:t>
            </w:r>
          </w:p>
        </w:tc>
      </w:tr>
      <w:tr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TC-9.3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75569"/>
                <w:sz w:val="20"/>
                <w:szCs w:val="20"/>
              </w:rPr>
              <w:t xml:space="preserve">FR-9.3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Free-tier list limit is enforced at the boundary.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Edge case</w:t>
            </w:r>
          </w:p>
        </w:tc>
      </w:tr>
      <w:tr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TC-9.4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75569"/>
                <w:sz w:val="20"/>
                <w:szCs w:val="20"/>
              </w:rPr>
              <w:t xml:space="preserve">FR-9.2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Failed or expired payment downgrades access appropriately.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Negative</w:t>
            </w:r>
          </w:p>
        </w:tc>
      </w:tr>
    </w:tbl>
    <w:p>
      <w:pPr>
        <w:pStyle w:val="Heading2"/>
      </w:pPr>
      <w:r>
        <w:t xml:space="preserve">5.10 In-App Advertising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100"/>
        <w:gridCol w:w="5360"/>
        <w:gridCol w:w="1800"/>
      </w:tblGrid>
      <w:tr>
        <w:trPr>
          <w:tblHeader/>
        </w:trPr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220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220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220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220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TC-10.1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75569"/>
                <w:sz w:val="20"/>
                <w:szCs w:val="20"/>
              </w:rPr>
              <w:t xml:space="preserve">FR-10.1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Free-tier user sees a banner ad on home and list screens.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Functional</w:t>
            </w:r>
          </w:p>
        </w:tc>
      </w:tr>
      <w:tr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TC-10.2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75569"/>
                <w:sz w:val="20"/>
                <w:szCs w:val="20"/>
              </w:rPr>
              <w:t xml:space="preserve">FR-10.2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Native/sponsored listing appears interleaved with price comparison results.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Functional</w:t>
            </w:r>
          </w:p>
        </w:tc>
      </w:tr>
      <w:tr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TC-10.3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75569"/>
                <w:sz w:val="20"/>
                <w:szCs w:val="20"/>
              </w:rPr>
              <w:t xml:space="preserve">FR-10.3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Interstitial/rewarded ad is offered at end of a shopping session.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Functional</w:t>
            </w:r>
          </w:p>
        </w:tc>
      </w:tr>
      <w:tr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TC-10.4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75569"/>
                <w:sz w:val="20"/>
                <w:szCs w:val="20"/>
              </w:rPr>
              <w:t xml:space="preserve">FR-10.4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User on an ads_free subscription tier sees no ad placements anywhere in the app.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Functional</w:t>
            </w:r>
          </w:p>
        </w:tc>
      </w:tr>
      <w:tr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TC-10.5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75569"/>
                <w:sz w:val="20"/>
                <w:szCs w:val="20"/>
              </w:rPr>
              <w:t xml:space="preserve">FR-10.5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Impressions beyond the frequency cap in a session are suppressed.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Edge case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Non-Functional Test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360"/>
        <w:gridCol w:w="2400"/>
      </w:tblGrid>
      <w:tr>
        <w:trPr>
          <w:tblHeader/>
        </w:trP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220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4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220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220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4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API p95 under nominal load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&lt; 400 ms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Real-time</w:t>
            </w:r>
          </w:p>
        </w:tc>
        <w:tc>
          <w:tcPr>
            <w:tcW w:type="dxa" w:w="4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Edit propagation to collaborators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&lt; 1 s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Load</w:t>
            </w:r>
          </w:p>
        </w:tc>
        <w:tc>
          <w:tcPr>
            <w:tcW w:type="dxa" w:w="4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Concurrent active collaboration sessions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Meets capacity plan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Offline</w:t>
            </w:r>
          </w:p>
        </w:tc>
        <w:tc>
          <w:tcPr>
            <w:tcW w:type="dxa" w:w="4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All list ops available without network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Security</w:t>
            </w:r>
          </w:p>
        </w:tc>
        <w:tc>
          <w:tcPr>
            <w:tcW w:type="dxa" w:w="4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Auth, injection, access control checks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No high/critical findings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Localization</w:t>
            </w:r>
          </w:p>
        </w:tc>
        <w:tc>
          <w:tcPr>
            <w:tcW w:type="dxa" w:w="4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Currency/tax/language per region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Correct for all locales</w:t>
            </w:r>
          </w:p>
        </w:tc>
      </w:tr>
    </w:tbl>
    <w:p>
      <w:pPr>
        <w:pStyle w:val="Heading1"/>
      </w:pPr>
      <w:r>
        <w:t xml:space="preserve">7. Defect Management</w:t>
      </w:r>
    </w:p>
    <w:p>
      <w:pPr>
        <w:spacing w:after="120" w:line="276"/>
      </w:pPr>
      <w:r>
        <w:t xml:space="preserve">Defects are logged with severity, steps to reproduce, and environment, then moved through a defined lifecycle. Failed verification reopens the defect.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30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Figure 2 — Defect lifecycle.</w:t>
      </w:r>
    </w:p>
    <w:p>
      <w:pPr>
        <w:pStyle w:val="Heading2"/>
      </w:pPr>
      <w:r>
        <w:t xml:space="preserve">7.1 Severity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220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7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220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E11D48"/>
                <w:sz w:val="20"/>
                <w:szCs w:val="20"/>
              </w:rPr>
              <w:t xml:space="preserve">Critical</w:t>
            </w:r>
          </w:p>
        </w:tc>
        <w:tc>
          <w:tcPr>
            <w:tcW w:type="dxa" w:w="7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Blocks core journey; no workaround (e.g. cannot sync offline changes).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High</w:t>
            </w:r>
          </w:p>
        </w:tc>
        <w:tc>
          <w:tcPr>
            <w:tcW w:type="dxa" w:w="7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Major feature impaired; workaround exists.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563EB"/>
                <w:sz w:val="20"/>
                <w:szCs w:val="20"/>
              </w:rPr>
              <w:t xml:space="preserve">Medium</w:t>
            </w:r>
          </w:p>
        </w:tc>
        <w:tc>
          <w:tcPr>
            <w:tcW w:type="dxa" w:w="7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Limited impact or non-core feature.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475569"/>
                <w:sz w:val="20"/>
                <w:szCs w:val="20"/>
              </w:rPr>
              <w:t xml:space="preserve">Low</w:t>
            </w:r>
          </w:p>
        </w:tc>
        <w:tc>
          <w:tcPr>
            <w:tcW w:type="dxa" w:w="7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Cosmetic or minor inconvenience.</w:t>
            </w:r>
          </w:p>
        </w:tc>
      </w:tr>
    </w:tbl>
    <w:p>
      <w:pPr>
        <w:pStyle w:val="Heading1"/>
      </w:pPr>
      <w:r>
        <w:t xml:space="preserve">8. Entry &amp; Exit Criteria</w:t>
      </w:r>
    </w:p>
    <w:p>
      <w:pPr>
        <w:pStyle w:val="Heading2"/>
      </w:pPr>
      <w:r>
        <w:t xml:space="preserve">8.1 Entry Criteria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 w:val="false"/>
          <w:bCs w:val="false"/>
        </w:rPr>
        <w:t xml:space="preserve">Requirements for the feature are approved and testable.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 w:val="false"/>
          <w:bCs w:val="false"/>
        </w:rPr>
        <w:t xml:space="preserve">Build is deployed to the test environment and smoke-tests pass.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 w:val="false"/>
          <w:bCs w:val="false"/>
        </w:rPr>
        <w:t xml:space="preserve">Test data and adapter sandboxes are available.</w:t>
      </w:r>
    </w:p>
    <w:p>
      <w:pPr>
        <w:pStyle w:val="Heading2"/>
      </w:pPr>
      <w:r>
        <w:t xml:space="preserve">8.2 Exit Criteria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 w:val="false"/>
          <w:bCs w:val="false"/>
        </w:rPr>
        <w:t xml:space="preserve">All Must-priority test cases pass.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 w:val="false"/>
          <w:bCs w:val="false"/>
        </w:rPr>
        <w:t xml:space="preserve">No open Critical or High defects.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 w:val="false"/>
          <w:bCs w:val="false"/>
        </w:rPr>
        <w:t xml:space="preserve">Non-functional targets met for the phase.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 w:val="false"/>
          <w:bCs w:val="false"/>
        </w:rPr>
        <w:t xml:space="preserve">UAT sign-off obtained for the increment.</w:t>
      </w:r>
    </w:p>
    <w:p>
      <w:pPr>
        <w:pStyle w:val="Heading1"/>
      </w:pPr>
      <w:r>
        <w:t xml:space="preserve">9. Test Environments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220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7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220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Local</w:t>
            </w:r>
          </w:p>
        </w:tc>
        <w:tc>
          <w:tcPr>
            <w:tcW w:type="dxa" w:w="7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Developer testing and unit suites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CI</w:t>
            </w:r>
          </w:p>
        </w:tc>
        <w:tc>
          <w:tcPr>
            <w:tcW w:type="dxa" w:w="7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Automated unit/integration on every push and PR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Staging</w:t>
            </w:r>
          </w:p>
        </w:tc>
        <w:tc>
          <w:tcPr>
            <w:tcW w:type="dxa" w:w="7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Integration, E2E, performance, UAT; adapter sandboxes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Production</w:t>
            </w:r>
          </w:p>
        </w:tc>
        <w:tc>
          <w:tcPr>
            <w:tcW w:type="dxa" w:w="7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Smoke tests and monitored canary releases</w:t>
            </w:r>
          </w:p>
        </w:tc>
      </w:tr>
    </w:tbl>
    <w:sectPr>
      <w:headerReference w:type="default" r:id="rId9"/>
      <w:footerReference w:type="default" r:id="rId10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4"/>
      </w:pBdr>
      <w:tabs>
        <w:tab w:val="right" w:pos="9360"/>
      </w:tabs>
    </w:pPr>
    <w:r>
      <w:rPr>
        <w:color w:val="94A3B8"/>
        <w:sz w:val="16"/>
        <w:szCs w:val="16"/>
      </w:rPr>
      <w:t xml:space="preserve">Confidential — Shoppa Project</w:t>
    </w:r>
    <w:r>
      <w:rPr>
        <w:color w:val="94A3B8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4"/>
      </w:pBdr>
      <w:tabs>
        <w:tab w:val="right" w:pos="9360"/>
      </w:tabs>
    </w:pPr>
    <w:r>
      <w:rPr>
        <w:color w:val="94A3B8"/>
        <w:sz w:val="16"/>
        <w:szCs w:val="16"/>
      </w:rPr>
      <w:t xml:space="preserve">Confidential — Shoppa Project</w:t>
    </w:r>
    <w:r>
      <w:rPr>
        <w:color w:val="94A3B8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6" w:space="4"/>
      </w:pBdr>
      <w:tabs>
        <w:tab w:val="right" w:pos="9360"/>
      </w:tabs>
    </w:pPr>
    <w:r>
      <w:rPr>
        <w:b/>
        <w:bCs/>
        <w:color w:val="0B1220"/>
        <w:sz w:val="18"/>
        <w:szCs w:val="18"/>
      </w:rPr>
      <w:t xml:space="preserve">SHOPPA</w:t>
    </w:r>
    <w:r>
      <w:rPr>
        <w:color w:val="94A3B8"/>
        <w:sz w:val="18"/>
        <w:szCs w:val="18"/>
      </w:rPr>
      <w:t xml:space="preserve">	Quality Assurance &amp; Test Plan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6" w:space="4"/>
      </w:pBdr>
      <w:tabs>
        <w:tab w:val="right" w:pos="9360"/>
      </w:tabs>
    </w:pPr>
    <w:r>
      <w:rPr>
        <w:b/>
        <w:bCs/>
        <w:color w:val="0B1220"/>
        <w:sz w:val="18"/>
        <w:szCs w:val="18"/>
      </w:rPr>
      <w:t xml:space="preserve">SHOPPA</w:t>
    </w:r>
    <w:r>
      <w:rPr>
        <w:color w:val="94A3B8"/>
        <w:sz w:val="18"/>
        <w:szCs w:val="18"/>
      </w:rPr>
      <w:t xml:space="preserve">	Quality Assurance &amp; Test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80"/>
      </w:pPr>
      <w:rPr>
        <w:color w:val="B45309"/>
      </w:rPr>
    </w:lvl>
    <w:lvl w:ilvl="1" w15:tentative="1">
      <w:start w:val="1"/>
      <w:numFmt w:val="bullet"/>
      <w:lvlText w:val="–"/>
      <w:lvlJc w:val="left"/>
      <w:pPr>
        <w:ind w:left="9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00"/>
      </w:pPr>
      <w:rPr>
        <w:b/>
        <w:bCs/>
        <w:color w:val="B45309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Calibri" w:cs="Calibri" w:eastAsia="Calibri" w:hAnsi="Calibri"/>
      <w:b/>
      <w:bCs/>
      <w:color w:val="0B1220"/>
      <w:sz w:val="56"/>
      <w:szCs w:val="56"/>
    </w:rPr>
  </w:style>
  <w:style w:type="paragraph" w:styleId="Heading1">
    <w:name w:val="Heading 1"/>
    <w:basedOn w:val="Normal"/>
    <w:next w:val="Normal"/>
    <w:qFormat/>
    <w:pPr>
      <w:pBdr>
        <w:bottom w:val="single" w:color="F59E0B" w:sz="18" w:space="6"/>
      </w:pBdr>
      <w:spacing w:after="160" w:before="320"/>
      <w:outlineLvl w:val="0"/>
    </w:pPr>
    <w:rPr>
      <w:rFonts w:ascii="Calibri" w:cs="Calibri" w:eastAsia="Calibri" w:hAnsi="Calibri"/>
      <w:b/>
      <w:bCs/>
      <w:color w:val="0B122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B4530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90" w:before="180"/>
      <w:outlineLvl w:val="2"/>
    </w:pPr>
    <w:rPr>
      <w:rFonts w:ascii="Calibri" w:cs="Calibri" w:eastAsia="Calibri" w:hAnsi="Calibri"/>
      <w:b/>
      <w:bCs/>
      <w:color w:val="475569"/>
      <w:sz w:val="23"/>
      <w:szCs w:val="23"/>
    </w:rPr>
  </w:style>
  <w:style w:type="paragraph" w:styleId="Caption">
    <w:name w:val="Caption"/>
    <w:basedOn w:val="Normal"/>
    <w:next w:val="Normal"/>
    <w:pPr>
      <w:spacing w:after="200" w:before="60"/>
      <w:jc w:val="center"/>
    </w:pPr>
    <w:rPr>
      <w:i/>
      <w:iCs/>
      <w:color w:val="94A3B8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71c25f72af3541c850fb985d79a1e4c958a60b17.png"/><Relationship Id="rId12" Type="http://schemas.openxmlformats.org/officeDocument/2006/relationships/image" Target="media/028d938e6664f73b4ff883afd01c821ff3d3218d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2026-06-26T22:16:49.140Z</dcterms:created>
  <dcterms:modified xsi:type="dcterms:W3CDTF">2026-06-26T22:16:49.141Z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