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模型预测控制车辆轨迹跟踪控制说明文档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一、准备阶段及模型说明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打开版本Matlab2021a，向上兼容，首先运行m文件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可以实现如下功能,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1.参考轨迹设置，并跟踪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2.基于模型预测控制的车辆轨迹跟踪模型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3.可以设置控制矩阵ABCD的调节方式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4.二自由度车辆模型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5.自适应模型预测控制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二、运行过程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1.打开Matlab软件运行.xls文件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2.运行param.m参数文件，首先运行参数文件，之后才能进行仿真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3.在参数矩阵中修改自己需要的参数即可，参数就是要想跟踪的车辆轨迹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4.参考轨迹就是一个矩阵横轴时间 纵轴侧向偏移 你可以把所有的轨迹都放进去，可以把每个轨迹都跟踪了的持续跟踪控制模型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5.可以对模型进行修改等等操作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2023-05-09T18:59:41Z</dcterms:created>
  <dc:creator>iPhone</dc:creator>
  <cp:lastModifiedBy>iPhone</cp:lastModifiedBy>
  <dcterms:modified xsi:type="dcterms:W3CDTF">2023-05-09T19:04:28Z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2052-11.16.1</vt:lpwstr>
  </property>
  <property fmtid="{D5CDD505-2E9C-101B-9397-08002B2CF9AE}" pid="3" name="ICV">
    <vt:lpwstr>E3F3312D210817569D275A6412BDF663</vt:lpwstr>
  </property>
</Properties>
</file>