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MS Gothic" w:hAnsi="MS Gothic" w:eastAsia="MS Gothic" w:cs="MS Gothic"/>
          <w:kern w:val="0"/>
          <w:sz w:val="24"/>
          <w:szCs w:val="24"/>
        </w:rPr>
      </w:pPr>
      <w:r>
        <w:rPr>
          <w:rFonts w:hint="eastAsia" w:ascii="MS Gothic" w:hAnsi="MS Gothic" w:eastAsia="宋体" w:cs="MS Gothic"/>
          <w:kern w:val="0"/>
          <w:sz w:val="24"/>
          <w:szCs w:val="24"/>
          <w:lang w:val="en-US" w:eastAsia="zh-CN"/>
        </w:rPr>
        <w:t>说明：</w:t>
      </w:r>
      <w:r>
        <w:rPr>
          <w:rFonts w:ascii="MS Gothic" w:hAnsi="MS Gothic" w:eastAsia="MS Gothic" w:cs="MS Gothic"/>
          <w:kern w:val="0"/>
          <w:sz w:val="24"/>
          <w:szCs w:val="24"/>
        </w:rPr>
        <w:t>​</w:t>
      </w:r>
    </w:p>
    <w:p>
      <w:pPr>
        <w:widowControl/>
        <w:jc w:val="left"/>
        <w:rPr>
          <w:rFonts w:hint="eastAsia" w:ascii="MS Gothic" w:hAnsi="MS Gothic" w:eastAsia="宋体" w:cs="MS Gothic"/>
          <w:kern w:val="0"/>
          <w:sz w:val="24"/>
          <w:szCs w:val="24"/>
          <w:lang w:val="en-US" w:eastAsia="zh-CN"/>
        </w:rPr>
      </w:pPr>
      <w:r>
        <w:rPr>
          <w:rFonts w:hint="eastAsia" w:ascii="MS Gothic" w:hAnsi="MS Gothic" w:eastAsia="宋体" w:cs="MS Gothic"/>
          <w:kern w:val="0"/>
          <w:sz w:val="24"/>
          <w:szCs w:val="24"/>
          <w:lang w:val="en-US" w:eastAsia="zh-CN"/>
        </w:rPr>
        <w:t>本文以基础SVPWM的公式推导搭建为例</w:t>
      </w:r>
    </w:p>
    <w:p>
      <w:pPr>
        <w:widowControl/>
        <w:jc w:val="left"/>
        <w:rPr>
          <w:rFonts w:hint="eastAsia" w:ascii="MS Gothic" w:hAnsi="MS Gothic" w:eastAsia="宋体" w:cs="MS Gothic"/>
          <w:kern w:val="0"/>
          <w:sz w:val="24"/>
          <w:szCs w:val="24"/>
          <w:lang w:val="en-US" w:eastAsia="zh-CN"/>
        </w:rPr>
      </w:pPr>
      <w:r>
        <w:rPr>
          <w:rFonts w:hint="eastAsia" w:ascii="MS Gothic" w:hAnsi="MS Gothic" w:eastAsia="宋体" w:cs="MS Gothic"/>
          <w:kern w:val="0"/>
          <w:sz w:val="24"/>
          <w:szCs w:val="24"/>
          <w:lang w:val="en-US" w:eastAsia="zh-CN"/>
        </w:rPr>
        <w:t>SVPWM的变种暂不介绍</w:t>
      </w:r>
    </w:p>
    <w:p>
      <w:pPr>
        <w:widowControl/>
        <w:jc w:val="left"/>
        <w:rPr>
          <w:rFonts w:hint="eastAsia" w:ascii="MS Gothic" w:hAnsi="MS Gothic" w:eastAsia="宋体" w:cs="MS Gothic"/>
          <w:kern w:val="0"/>
          <w:sz w:val="24"/>
          <w:szCs w:val="24"/>
          <w:lang w:val="en-US" w:eastAsia="zh-CN"/>
        </w:rPr>
      </w:pPr>
    </w:p>
    <w:p>
      <w:pPr>
        <w:widowControl/>
        <w:jc w:val="left"/>
        <w:rPr>
          <w:rFonts w:hint="eastAsia" w:ascii="MS Gothic" w:hAnsi="MS Gothic" w:eastAsia="宋体" w:cs="MS Gothic"/>
          <w:kern w:val="0"/>
          <w:sz w:val="24"/>
          <w:szCs w:val="24"/>
          <w:lang w:val="en-US" w:eastAsia="zh-CN"/>
        </w:rPr>
      </w:pPr>
      <w:r>
        <w:rPr>
          <w:rFonts w:hint="eastAsia" w:ascii="MS Gothic" w:hAnsi="MS Gothic" w:eastAsia="宋体" w:cs="MS Gothic"/>
          <w:kern w:val="0"/>
          <w:sz w:val="24"/>
          <w:szCs w:val="24"/>
          <w:lang w:val="en-US" w:eastAsia="zh-CN"/>
        </w:rPr>
        <w:t>可以通过取消注释更换不同的SVPWM模块</w:t>
      </w:r>
    </w:p>
    <w:p>
      <w:pPr>
        <w:widowControl/>
        <w:jc w:val="left"/>
        <w:rPr>
          <w:rFonts w:hint="eastAsia" w:ascii="MS Gothic" w:hAnsi="MS Gothic" w:eastAsia="宋体" w:cs="MS Gothic"/>
          <w:color w:val="FF0000"/>
          <w:kern w:val="0"/>
          <w:sz w:val="24"/>
          <w:szCs w:val="24"/>
          <w:lang w:val="en-US" w:eastAsia="zh-CN"/>
        </w:rPr>
      </w:pPr>
      <w:r>
        <w:rPr>
          <w:rFonts w:hint="eastAsia" w:ascii="MS Gothic" w:hAnsi="MS Gothic" w:eastAsia="宋体" w:cs="MS Gothic"/>
          <w:color w:val="FF0000"/>
          <w:kern w:val="0"/>
          <w:sz w:val="24"/>
          <w:szCs w:val="24"/>
          <w:lang w:val="en-US" w:eastAsia="zh-CN"/>
        </w:rPr>
        <w:t>注：Simulink里自带的模块是标幺后的</w:t>
      </w:r>
    </w:p>
    <w:p>
      <w:pPr>
        <w:widowControl/>
        <w:jc w:val="left"/>
        <w:rPr>
          <w:rFonts w:hint="eastAsia" w:ascii="MS Gothic" w:hAnsi="MS Gothic" w:eastAsia="宋体" w:cs="MS Gothic"/>
          <w:color w:val="FF0000"/>
          <w:kern w:val="0"/>
          <w:sz w:val="24"/>
          <w:szCs w:val="24"/>
          <w:lang w:val="en-US" w:eastAsia="zh-CN"/>
        </w:rPr>
      </w:pPr>
    </w:p>
    <w:p>
      <w:pPr>
        <w:widowControl/>
        <w:jc w:val="left"/>
        <w:rPr>
          <w:rFonts w:hint="default" w:ascii="MS Gothic" w:hAnsi="MS Gothic" w:eastAsia="宋体" w:cs="MS Gothic"/>
          <w:color w:val="auto"/>
          <w:kern w:val="0"/>
          <w:sz w:val="24"/>
          <w:szCs w:val="24"/>
          <w:lang w:val="en-US" w:eastAsia="zh-CN"/>
        </w:rPr>
      </w:pPr>
      <w:r>
        <w:rPr>
          <w:rFonts w:hint="eastAsia" w:ascii="MS Gothic" w:hAnsi="MS Gothic" w:eastAsia="宋体" w:cs="MS Gothic"/>
          <w:color w:val="auto"/>
          <w:kern w:val="0"/>
          <w:sz w:val="24"/>
          <w:szCs w:val="24"/>
          <w:lang w:val="en-US" w:eastAsia="zh-CN"/>
        </w:rPr>
        <w:t>具体公式可参考袁雷的永磁同步电机控制，作者只简单介绍，重点讲解仿真的搭建过程。</w:t>
      </w:r>
    </w:p>
    <w:p>
      <w:pPr>
        <w:widowControl/>
        <w:jc w:val="left"/>
        <w:rPr>
          <w:rFonts w:hint="default" w:ascii="MS Gothic" w:hAnsi="MS Gothic" w:eastAsia="宋体" w:cs="MS Gothic"/>
          <w:kern w:val="0"/>
          <w:sz w:val="24"/>
          <w:szCs w:val="24"/>
          <w:lang w:val="en-US" w:eastAsia="zh-CN"/>
        </w:rPr>
      </w:pPr>
      <w:r>
        <w:drawing>
          <wp:inline distT="0" distB="0" distL="114300" distR="114300">
            <wp:extent cx="1576705" cy="19145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576705" cy="1914525"/>
                    </a:xfrm>
                    <a:prstGeom prst="rect">
                      <a:avLst/>
                    </a:prstGeom>
                    <a:noFill/>
                    <a:ln>
                      <a:noFill/>
                    </a:ln>
                  </pic:spPr>
                </pic:pic>
              </a:graphicData>
            </a:graphic>
          </wp:inline>
        </w:drawing>
      </w:r>
      <w:r>
        <w:drawing>
          <wp:inline distT="0" distB="0" distL="114300" distR="114300">
            <wp:extent cx="1891030" cy="2138680"/>
            <wp:effectExtent l="0" t="0" r="444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891030" cy="2138680"/>
                    </a:xfrm>
                    <a:prstGeom prst="rect">
                      <a:avLst/>
                    </a:prstGeom>
                    <a:noFill/>
                    <a:ln>
                      <a:noFill/>
                    </a:ln>
                  </pic:spPr>
                </pic:pic>
              </a:graphicData>
            </a:graphic>
          </wp:inline>
        </w:drawing>
      </w:r>
    </w:p>
    <w:p>
      <w:pPr>
        <w:widowControl/>
        <w:jc w:val="left"/>
        <w:rPr>
          <w:rFonts w:hint="default" w:ascii="MS Gothic" w:hAnsi="MS Gothic" w:eastAsia="宋体" w:cs="MS Gothic"/>
          <w:kern w:val="0"/>
          <w:sz w:val="24"/>
          <w:szCs w:val="24"/>
          <w:lang w:val="en-US" w:eastAsia="zh-CN"/>
        </w:rPr>
      </w:pPr>
    </w:p>
    <w:p>
      <w:pPr>
        <w:widowControl/>
        <w:spacing w:before="100" w:beforeAutospacing="1" w:after="100" w:afterAutospacing="1"/>
        <w:jc w:val="left"/>
        <w:outlineLvl w:val="0"/>
        <w:rPr>
          <w:rFonts w:ascii="宋体" w:hAnsi="宋体" w:eastAsia="宋体" w:cs="宋体"/>
          <w:b/>
          <w:bCs/>
          <w:vanish/>
          <w:kern w:val="36"/>
          <w:sz w:val="48"/>
          <w:szCs w:val="48"/>
        </w:rPr>
      </w:pPr>
    </w:p>
    <w:p>
      <w:pPr>
        <w:widowControl/>
        <w:spacing w:before="100" w:beforeAutospacing="1" w:after="100" w:afterAutospacing="1"/>
        <w:jc w:val="left"/>
        <w:outlineLvl w:val="0"/>
        <w:rPr>
          <w:rFonts w:ascii="宋体" w:hAnsi="宋体" w:eastAsia="宋体" w:cs="宋体"/>
          <w:b/>
          <w:bCs/>
          <w:vanish/>
          <w:kern w:val="36"/>
          <w:sz w:val="48"/>
          <w:szCs w:val="48"/>
        </w:rPr>
      </w:pPr>
    </w:p>
    <w:p>
      <w:pPr>
        <w:widowControl/>
        <w:spacing w:before="100" w:beforeAutospacing="1" w:after="100" w:afterAutospacing="1"/>
        <w:jc w:val="left"/>
        <w:outlineLvl w:val="0"/>
        <w:rPr>
          <w:rFonts w:ascii="宋体" w:hAnsi="宋体" w:eastAsia="宋体" w:cs="宋体"/>
          <w:b/>
          <w:bCs/>
          <w:vanish/>
          <w:kern w:val="36"/>
          <w:sz w:val="48"/>
          <w:szCs w:val="48"/>
        </w:rPr>
      </w:pPr>
    </w:p>
    <w:p>
      <w:pPr>
        <w:widowControl/>
        <w:spacing w:before="100" w:beforeAutospacing="1" w:after="100" w:afterAutospacing="1"/>
        <w:jc w:val="left"/>
        <w:outlineLvl w:val="0"/>
        <w:rPr>
          <w:rFonts w:ascii="宋体" w:hAnsi="宋体" w:eastAsia="宋体" w:cs="宋体"/>
          <w:kern w:val="0"/>
          <w:sz w:val="24"/>
          <w:szCs w:val="24"/>
        </w:rPr>
      </w:pPr>
      <w:r>
        <w:rPr>
          <w:rFonts w:ascii="宋体" w:hAnsi="宋体" w:eastAsia="宋体" w:cs="宋体"/>
          <w:b/>
          <w:bCs/>
          <w:vanish/>
          <w:kern w:val="36"/>
          <w:sz w:val="48"/>
          <w:szCs w:val="48"/>
        </w:rPr>
        <w:t> </w:t>
      </w:r>
      <w:r>
        <w:rPr>
          <w:rFonts w:ascii="宋体" w:hAnsi="宋体" w:eastAsia="宋体" w:cs="宋体"/>
          <w:b/>
          <w:bCs/>
          <w:kern w:val="36"/>
          <w:sz w:val="48"/>
          <w:szCs w:val="48"/>
        </w:rPr>
        <w:t>1.SVPWM原理</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空间矢量脉宽调制（SVPWM:Space Vector Pulse Width Modulation）算法是从电动机的角度出发，目的在于使交流电动机产生圆形磁场。它以三相对称正弦波电源（其电压和频率值均为电动机的额定值）供电时交流电动机产生的理想磁链圆为基准，通过选择逆变器的不同开关模式，使电动机的实际磁链尽可能逼近理想磁链圆，从而产生 SVPWM 波。由于磁链的轨迹是靠电压空 间矢量相加得到的，故也称之为“电压空间矢量 控制”。 SVPWM 技术实际就是在一个设定的采 样周期内，根据参考电压矢量所在的区间位置,选择与之相邻的两个基本电压空间矢量以及零电 压矢量来合成参考电压空间矢量，如图 1所示。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00650" cy="3152775"/>
            <wp:effectExtent l="0" t="0" r="0" b="9525"/>
            <wp:docPr id="114" name="图片 114" descr="watermark,type_d3F5LXplbmhlaQ,shadow_50,text_Q1NETiBAbGnmn5DlvIDov4flhYk=,size_16,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watermark,type_d3F5LXplbmhlaQ,shadow_50,text_Q1NETiBAbGnmn5DlvIDov4flhYk=,size_16,color_FFFFFF,t_70,g_se,x_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00650" cy="3152775"/>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这里说明一下：SVPWM的标准输入一般为相位相差90°的正弦波Ualfa,Ubeta，输出马鞍波，马鞍波和三角载波产生PWM信号控制逆变器6个开关。(三对互补开关)</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三相逆变器:</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381250" cy="2095500"/>
            <wp:effectExtent l="0" t="0" r="0" b="0"/>
            <wp:docPr id="112" name="图片 112" descr="watermark,type_d3F5LXplbmhlaQ,shadow_50,text_Q1NETiBAbGnmn5DlvIDov4flhYk=,size_7,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watermark,type_d3F5LXplbmhlaQ,shadow_50,text_Q1NETiBAbGnmn5DlvIDov4flhYk=,size_7,color_FFFFFF,t_70,g_se,x_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81250" cy="209550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r>
        <w:rPr>
          <w:rFonts w:ascii="宋体" w:hAnsi="宋体" w:eastAsia="宋体" w:cs="宋体"/>
          <w:kern w:val="0"/>
          <w:sz w:val="24"/>
          <w:szCs w:val="24"/>
        </w:rPr>
        <w:t>编辑</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这6个开关在某一时刻(如S1和S2同一时间必有且只有一个通)一共有2*2*2=8种不同的状态，把以上8种开关状态分别称为状态0，1，2，3，4，5，6，7，用这8个基本电压矢量去逼近圆，会在三相逆变桥输出端得到三相正弦电压波形。</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当8个开关状态中UWV都是1或者都是0的时候，那么合成的矢量抵消，即为0。其余6个状态可以组成6个不同方向的矢量（如U=W=1,V=0,矢量指向WU的角平分线）。</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选择这些基本电压矢量</w:t>
      </w:r>
      <w:r>
        <w:rPr>
          <w:rFonts w:ascii="宋体" w:hAnsi="宋体" w:eastAsia="宋体" w:cs="宋体"/>
          <w:b/>
          <w:bCs/>
          <w:kern w:val="0"/>
          <w:sz w:val="24"/>
          <w:szCs w:val="24"/>
        </w:rPr>
        <w:t>相邻的两个</w:t>
      </w:r>
      <w:r>
        <w:rPr>
          <w:rFonts w:ascii="宋体" w:hAnsi="宋体" w:eastAsia="宋体" w:cs="宋体"/>
          <w:kern w:val="0"/>
          <w:sz w:val="24"/>
          <w:szCs w:val="24"/>
        </w:rPr>
        <w:t>再进行细分，就可以得到更多的电压矢量，矢量的大小就可以用开关通的时间来控制，这样就可以通过对三相电压导通时间的控制转而得到各个方向的电压矢量，如下图：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00650" cy="3095625"/>
            <wp:effectExtent l="0" t="0" r="0" b="9525"/>
            <wp:docPr id="108" name="图片 108" descr="watermark,type_d3F5LXplbmhlaQ,shadow_50,text_Q1NETiBAbGnmn5DlvIDov4flhYk=,size_16,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watermark,type_d3F5LXplbmhlaQ,shadow_50,text_Q1NETiBAbGnmn5DlvIDov4flhYk=,size_16,color_FFFFFF,t_70,g_se,x_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00650" cy="3095625"/>
                    </a:xfrm>
                    <a:prstGeom prst="rect">
                      <a:avLst/>
                    </a:prstGeom>
                    <a:noFill/>
                    <a:ln>
                      <a:noFill/>
                    </a:ln>
                  </pic:spPr>
                </pic:pic>
              </a:graphicData>
            </a:graphic>
          </wp:inline>
        </w:drawing>
      </w:r>
    </w:p>
    <w:p>
      <w:pPr>
        <w:widowControl/>
        <w:spacing w:before="100" w:beforeAutospacing="1" w:after="100" w:afterAutospacing="1"/>
        <w:jc w:val="left"/>
        <w:outlineLvl w:val="0"/>
        <w:rPr>
          <w:rFonts w:ascii="宋体" w:hAnsi="宋体" w:eastAsia="宋体" w:cs="宋体"/>
          <w:b/>
          <w:bCs/>
          <w:kern w:val="36"/>
          <w:sz w:val="48"/>
          <w:szCs w:val="48"/>
        </w:rPr>
      </w:pPr>
      <w:r>
        <w:rPr>
          <w:rFonts w:ascii="宋体" w:hAnsi="宋体" w:eastAsia="宋体" w:cs="宋体"/>
          <w:b/>
          <w:bCs/>
          <w:kern w:val="36"/>
          <w:sz w:val="48"/>
          <w:szCs w:val="48"/>
        </w:rPr>
        <w:t> 2 控制实现</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实现过程分为3个阶段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 扇区判断</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 计算开关电压矢量作用的时间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 计算空间矢量比较器的切换点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总的系统仿真如下图</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1875790"/>
            <wp:effectExtent l="0" t="0" r="2540" b="0"/>
            <wp:docPr id="106" name="图片 106"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watermark,type_d3F5LXplbmhlaQ,shadow_50,text_Q1NETiBAbGnmn5DlvIDov4flhYk=,size_20,color_FFFFFF,t_70,g_se,x_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1875790"/>
                    </a:xfrm>
                    <a:prstGeom prst="rect">
                      <a:avLst/>
                    </a:prstGeom>
                    <a:noFill/>
                    <a:ln>
                      <a:noFill/>
                    </a:ln>
                  </pic:spPr>
                </pic:pic>
              </a:graphicData>
            </a:graphic>
          </wp:inline>
        </w:drawing>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2.1 判断当前电压所在的扇区</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知道的当前的扇区就可以通过相邻的两个电压矢量进行合成</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根据如下三相到两相坐标变换矩阵：</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048000" cy="1514475"/>
            <wp:effectExtent l="0" t="0" r="0" b="9525"/>
            <wp:docPr id="104" name="图片 104" descr="watermark,type_d3F5LXplbmhlaQ,shadow_50,text_Q1NETiBAbGnmn5DlvIDov4flhYk=,size_9,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watermark,type_d3F5LXplbmhlaQ,shadow_50,text_Q1NETiBAbGnmn5DlvIDov4flhYk=,size_9,color_FFFFFF,t_70,g_se,x_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48000" cy="151447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把三相电压变成两相电压</w:t>
      </w:r>
      <w:r>
        <w:rPr>
          <w:rFonts w:ascii="宋体" w:hAnsi="宋体" w:eastAsia="宋体" w:cs="宋体"/>
          <w:kern w:val="0"/>
          <w:sz w:val="24"/>
          <w:szCs w:val="24"/>
        </w:rPr>
        <w:drawing>
          <wp:inline distT="0" distB="0" distL="0" distR="0">
            <wp:extent cx="971550" cy="4572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71550" cy="45720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r>
        <w:rPr>
          <w:rFonts w:ascii="宋体" w:hAnsi="宋体" w:eastAsia="宋体" w:cs="宋体"/>
          <w:kern w:val="0"/>
          <w:sz w:val="24"/>
          <w:szCs w:val="24"/>
        </w:rPr>
        <w:t>编辑即前文所说的输入</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再通过其逆变换求得Vref1   Vref12   Vref3</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152775" cy="2286000"/>
            <wp:effectExtent l="0" t="0" r="9525" b="0"/>
            <wp:docPr id="100" name="图片 100" descr="watermark,type_d3F5LXplbmhlaQ,shadow_50,text_Q1NETiBAbGnmn5DlvIDov4flhYk=,size_9,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watermark,type_d3F5LXplbmhlaQ,shadow_50,text_Q1NETiBAbGnmn5DlvIDov4flhYk=,size_9,color_FFFFFF,t_70,g_se,x_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152775" cy="228600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若Vref1 ＞0，则 A=1，否则 A=0；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若Vref2 ＞0，则 B=1，否则 B=0；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若Vref3 ＞0，则 C=1，否则 C=0；</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扇区号 N=4×C+2×B+A</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仿真搭建如下：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2614295"/>
            <wp:effectExtent l="0" t="0" r="2540" b="0"/>
            <wp:docPr id="98" name="图片 98"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watermark,type_d3F5LXplbmhlaQ,shadow_50,text_Q1NETiBAbGnmn5DlvIDov4flhYk=,size_20,color_FFFFFF,t_70,g_se,x_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261429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模块说明：</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400300" cy="16764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400300" cy="167640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r>
        <w:rPr>
          <w:rFonts w:ascii="宋体" w:hAnsi="宋体" w:eastAsia="宋体" w:cs="宋体"/>
          <w:kern w:val="0"/>
          <w:sz w:val="24"/>
          <w:szCs w:val="24"/>
        </w:rPr>
        <w:t>编辑</w:t>
      </w:r>
      <w:r>
        <w:rPr>
          <w:rFonts w:ascii="宋体" w:hAnsi="宋体" w:eastAsia="宋体" w:cs="宋体"/>
          <w:kern w:val="0"/>
          <w:sz w:val="24"/>
          <w:szCs w:val="24"/>
        </w:rPr>
        <w:drawing>
          <wp:inline distT="0" distB="0" distL="0" distR="0">
            <wp:extent cx="2181225" cy="1476375"/>
            <wp:effectExtent l="0" t="0" r="9525" b="952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81225" cy="147637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r>
        <w:rPr>
          <w:rFonts w:ascii="宋体" w:hAnsi="宋体" w:eastAsia="宋体" w:cs="宋体"/>
          <w:kern w:val="0"/>
          <w:sz w:val="24"/>
          <w:szCs w:val="24"/>
        </w:rPr>
        <w:drawing>
          <wp:inline distT="0" distB="0" distL="0" distR="0">
            <wp:extent cx="1809750" cy="1933575"/>
            <wp:effectExtent l="0" t="0" r="0" b="9525"/>
            <wp:docPr id="92" name="图片 92" descr="watermark,type_d3F5LXplbmhlaQ,shadow_50,text_Q1NETiBAbGnmn5DlvIDov4flhYk=,size_5,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descr="watermark,type_d3F5LXplbmhlaQ,shadow_50,text_Q1NETiBAbGnmn5DlvIDov4flhYk=,size_5,color_FFFFFF,t_70,g_se,x_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809750" cy="193357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2.2 计算开关电压矢量作用的时间</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首先定义变量 X，Y，Z</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drawing>
          <wp:inline distT="0" distB="0" distL="0" distR="0">
            <wp:extent cx="3086100" cy="2257425"/>
            <wp:effectExtent l="0" t="0" r="0" b="9525"/>
            <wp:docPr id="90" name="图片 90" descr="watermark,type_d3F5LXplbmhlaQ,shadow_50,text_Q1NETiBAbGnmn5DlvIDov4flhYk=,size_9,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watermark,type_d3F5LXplbmhlaQ,shadow_50,text_Q1NETiBAbGnmn5DlvIDov4flhYk=,size_9,color_FFFFFF,t_70,g_se,x_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86100" cy="225742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则各个扇区里相邻的两个电压矢量作用的时 间比 t1，t2。如表 1 所示</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267325" cy="1009650"/>
            <wp:effectExtent l="0" t="0" r="9525" b="0"/>
            <wp:docPr id="88" name="图片 88" descr="watermark,type_d3F5LXplbmhlaQ,shadow_50,text_Q1NETiBAbGnmn5DlvIDov4flhYk=,size_16,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watermark,type_d3F5LXplbmhlaQ,shadow_50,text_Q1NETiBAbGnmn5DlvIDov4flhYk=,size_16,color_FFFFFF,t_70,g_se,x_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67325" cy="100965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当出现 T-t1-t2≥0 时，取 t1=t1，t2=t2</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当出现 T-t1-t2﹤0 时，取 t1=t1×T/(t1+t2)，t2=t2 ×T/(t1+t2)，T 为脉冲周期</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仿真搭建如下：</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drawing>
          <wp:inline distT="0" distB="0" distL="0" distR="0">
            <wp:extent cx="5274310" cy="2120900"/>
            <wp:effectExtent l="0" t="0" r="2540" b="0"/>
            <wp:docPr id="86" name="图片 86"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watermark,type_d3F5LXplbmhlaQ,shadow_50,text_Q1NETiBAbGnmn5DlvIDov4flhYk=,size_20,color_FFFFFF,t_70,g_se,x_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12090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drawing>
          <wp:inline distT="0" distB="0" distL="0" distR="0">
            <wp:extent cx="5274310" cy="3215640"/>
            <wp:effectExtent l="0" t="0" r="2540" b="3810"/>
            <wp:docPr id="84" name="图片 84"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watermark,type_d3F5LXplbmhlaQ,shadow_50,text_Q1NETiBAbGnmn5DlvIDov4flhYk=,size_20,color_FFFFFF,t_70,g_se,x_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321564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274310" cy="2954655"/>
            <wp:effectExtent l="0" t="0" r="2540" b="0"/>
            <wp:docPr id="82" name="图片 82"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watermark,type_d3F5LXplbmhlaQ,shadow_50,text_Q1NETiBAbGnmn5DlvIDov4flhYk=,size_20,color_FFFFFF,t_70,g_se,x_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95465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模块说明</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2162175" cy="1771650"/>
            <wp:effectExtent l="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162175" cy="177165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r>
        <w:rPr>
          <w:rFonts w:ascii="宋体" w:hAnsi="宋体" w:eastAsia="宋体" w:cs="宋体"/>
          <w:kern w:val="0"/>
          <w:sz w:val="24"/>
          <w:szCs w:val="24"/>
        </w:rPr>
        <w:drawing>
          <wp:inline distT="0" distB="0" distL="0" distR="0">
            <wp:extent cx="5274310" cy="3966210"/>
            <wp:effectExtent l="0" t="0" r="2540" b="0"/>
            <wp:docPr id="78" name="图片 78"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watermark,type_d3F5LXplbmhlaQ,shadow_50,text_Q1NETiBAbGnmn5DlvIDov4flhYk=,size_20,color_FFFFFF,t_70,g_se,x_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396621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543175" cy="1743075"/>
            <wp:effectExtent l="0" t="0" r="9525"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543175" cy="174307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r>
        <w:rPr>
          <w:rFonts w:ascii="宋体" w:hAnsi="宋体" w:eastAsia="宋体" w:cs="宋体"/>
          <w:kern w:val="0"/>
          <w:sz w:val="24"/>
          <w:szCs w:val="24"/>
        </w:rPr>
        <w:drawing>
          <wp:inline distT="0" distB="0" distL="0" distR="0">
            <wp:extent cx="4791075" cy="3933825"/>
            <wp:effectExtent l="0" t="0" r="9525" b="9525"/>
            <wp:docPr id="74" name="图片 74" descr="watermark,type_d3F5LXplbmhlaQ,shadow_50,text_Q1NETiBAbGnmn5DlvIDov4flhYk=,size_15,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watermark,type_d3F5LXplbmhlaQ,shadow_50,text_Q1NETiBAbGnmn5DlvIDov4flhYk=,size_15,color_FFFFFF,t_70,g_se,x_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791075" cy="393382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 2.3 计算空间矢量比较器的切换点</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开关状态通常情况下是通过这个周期内的脉冲的占空比调节 的，也就是说通过调节时间管理器的定时器的占空比调节开关器件的闭合断开时间，计算占空比的计算方法如下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952750" cy="1447800"/>
            <wp:effectExtent l="0" t="0" r="0" b="0"/>
            <wp:docPr id="72" name="图片 72" descr="watermark,type_d3F5LXplbmhlaQ,shadow_50,text_Q1NETiBAbGnmn5DlvIDov4flhYk=,size_9,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watermark,type_d3F5LXplbmhlaQ,shadow_50,text_Q1NETiBAbGnmn5DlvIDov4flhYk=,size_9,color_FFFFFF,t_70,g_se,x_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952750" cy="144780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这三个ton根据电压矢量所处的扇区来确定，以第一扇区为例：</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572000" cy="2314575"/>
            <wp:effectExtent l="0" t="0" r="0" b="9525"/>
            <wp:docPr id="70" name="图片 70" descr="watermark,type_d3F5LXplbmhlaQ,shadow_50,text_Q1NETiBAbGnmn5DlvIDov4flhYk=,size_14,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watermark,type_d3F5LXplbmhlaQ,shadow_50,text_Q1NETiBAbGnmn5DlvIDov4flhYk=,size_14,color_FFFFFF,t_70,g_se,x_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572000" cy="231457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再根据下表就能得到空间矢量比较器的切换点</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274310" cy="1294130"/>
            <wp:effectExtent l="0" t="0" r="2540" b="1270"/>
            <wp:docPr id="68" name="图片 68" descr="watermark,type_d3F5LXplbmhlaQ,shadow_50,text_Q1NETiBAbGnmn5DlvIDov4flhYk=,size_17,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watermark,type_d3F5LXplbmhlaQ,shadow_50,text_Q1NETiBAbGnmn5DlvIDov4flhYk=,size_17,color_FFFFFF,t_70,g_se,x_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129413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仿真搭建如下：</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274310" cy="1723390"/>
            <wp:effectExtent l="0" t="0" r="2540" b="0"/>
            <wp:docPr id="66" name="图片 66"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watermark,type_d3F5LXplbmhlaQ,shadow_50,text_Q1NETiBAbGnmn5DlvIDov4flhYk=,size_20,color_FFFFFF,t_70,g_se,x_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4310" cy="172339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5274310" cy="2743835"/>
            <wp:effectExtent l="0" t="0" r="2540" b="0"/>
            <wp:docPr id="64" name="图片 64"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watermark,type_d3F5LXplbmhlaQ,shadow_50,text_Q1NETiBAbGnmn5DlvIDov4flhYk=,size_20,color_FFFFFF,t_70,g_se,x_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274310" cy="274383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p>
    <w:p>
      <w:pPr>
        <w:widowControl/>
        <w:spacing w:before="100" w:beforeAutospacing="1" w:after="100" w:afterAutospacing="1"/>
        <w:jc w:val="left"/>
        <w:outlineLvl w:val="1"/>
        <w:rPr>
          <w:rFonts w:ascii="宋体" w:hAnsi="宋体" w:eastAsia="宋体" w:cs="宋体"/>
          <w:b/>
          <w:bCs/>
          <w:kern w:val="0"/>
          <w:sz w:val="36"/>
          <w:szCs w:val="36"/>
        </w:rPr>
      </w:pPr>
      <w:r>
        <w:rPr>
          <w:rFonts w:ascii="宋体" w:hAnsi="宋体" w:eastAsia="宋体" w:cs="宋体"/>
          <w:b/>
          <w:bCs/>
          <w:kern w:val="0"/>
          <w:sz w:val="36"/>
          <w:szCs w:val="36"/>
        </w:rPr>
        <w:t> 2.4 逆变器如下图</w:t>
      </w:r>
    </w:p>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drawing>
          <wp:inline distT="0" distB="0" distL="0" distR="0">
            <wp:extent cx="5274310" cy="2858135"/>
            <wp:effectExtent l="0" t="0" r="2540" b="0"/>
            <wp:docPr id="62" name="图片 62"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watermark,type_d3F5LXplbmhlaQ,shadow_50,text_Q1NETiBAbGnmn5DlvIDov4flhYk=,size_20,color_FFFFFF,t_70,g_se,x_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274310" cy="285813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3779520"/>
            <wp:effectExtent l="0" t="0" r="2540" b="0"/>
            <wp:docPr id="60" name="图片 60" descr="watermark,type_d3F5LXplbmhlaQ,shadow_50,text_Q1NETiBAbGnmn5DlvIDov4flhYk=,size_18,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watermark,type_d3F5LXplbmhlaQ,shadow_50,text_Q1NETiBAbGnmn5DlvIDov4flhYk=,size_18,color_FFFFFF,t_70,g_se,x_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377952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r>
        <w:rPr>
          <w:rFonts w:ascii="宋体" w:hAnsi="宋体" w:eastAsia="宋体" w:cs="宋体"/>
          <w:kern w:val="0"/>
          <w:sz w:val="24"/>
          <w:szCs w:val="24"/>
        </w:rPr>
        <w:drawing>
          <wp:inline distT="0" distB="0" distL="0" distR="0">
            <wp:extent cx="4133850" cy="1552575"/>
            <wp:effectExtent l="0" t="0" r="0" b="9525"/>
            <wp:docPr id="58" name="图片 58" descr="watermark,type_d3F5LXplbmhlaQ,shadow_50,text_Q1NETiBAbGnmn5DlvIDov4flhYk=,size_13,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watermark,type_d3F5LXplbmhlaQ,shadow_50,text_Q1NETiBAbGnmn5DlvIDov4flhYk=,size_13,color_FFFFFF,t_70,g_se,x_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4133850" cy="155257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rPr>
          <w:rFonts w:hint="eastAsia" w:ascii="宋体" w:hAnsi="宋体" w:cs="宋体"/>
          <w:kern w:val="0"/>
          <w:sz w:val="24"/>
          <w:szCs w:val="24"/>
        </w:rPr>
      </w:pPr>
      <w:r>
        <w:rPr>
          <w:rFonts w:ascii="宋体" w:hAnsi="宋体" w:eastAsia="宋体" w:cs="宋体"/>
          <w:kern w:val="0"/>
          <w:sz w:val="24"/>
          <w:szCs w:val="24"/>
        </w:rPr>
        <w:drawing>
          <wp:inline distT="0" distB="0" distL="0" distR="0">
            <wp:extent cx="3257550" cy="1000125"/>
            <wp:effectExtent l="0" t="0" r="0" b="9525"/>
            <wp:docPr id="56" name="图片 56" descr="watermark,type_d3F5LXplbmhlaQ,shadow_50,text_Q1NETiBAbGnmn5DlvIDov4flhYk=,size_1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watermark,type_d3F5LXplbmhlaQ,shadow_50,text_Q1NETiBAbGnmn5DlvIDov4flhYk=,size_10,color_FFFFFF,t_70,g_se,x_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257550" cy="100012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r>
        <w:rPr>
          <w:rFonts w:ascii="宋体" w:hAnsi="宋体" w:eastAsia="宋体" w:cs="宋体"/>
          <w:kern w:val="0"/>
          <w:sz w:val="24"/>
          <w:szCs w:val="24"/>
        </w:rPr>
        <w:drawing>
          <wp:inline distT="0" distB="0" distL="0" distR="0">
            <wp:extent cx="1971675" cy="14478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971675" cy="144780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r>
        <w:rPr>
          <w:rFonts w:ascii="宋体" w:hAnsi="宋体" w:eastAsia="宋体" w:cs="宋体"/>
          <w:kern w:val="0"/>
          <w:sz w:val="24"/>
          <w:szCs w:val="24"/>
        </w:rPr>
        <w:drawing>
          <wp:inline distT="0" distB="0" distL="0" distR="0">
            <wp:extent cx="2667000" cy="16002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667000" cy="1600200"/>
                    </a:xfrm>
                    <a:prstGeom prst="rect">
                      <a:avLst/>
                    </a:prstGeom>
                    <a:noFill/>
                    <a:ln>
                      <a:noFill/>
                    </a:ln>
                  </pic:spPr>
                </pic:pic>
              </a:graphicData>
            </a:graphic>
          </wp:inline>
        </w:drawing>
      </w:r>
    </w:p>
    <w:p>
      <w:pPr>
        <w:widowControl/>
        <w:spacing w:before="100" w:beforeAutospacing="1" w:after="100" w:afterAutospacing="1"/>
        <w:jc w:val="left"/>
        <w:outlineLvl w:val="0"/>
        <w:rPr>
          <w:rFonts w:ascii="宋体" w:hAnsi="宋体" w:eastAsia="宋体" w:cs="宋体"/>
          <w:b/>
          <w:bCs/>
          <w:kern w:val="36"/>
          <w:sz w:val="48"/>
          <w:szCs w:val="48"/>
        </w:rPr>
      </w:pPr>
      <w:r>
        <w:rPr>
          <w:rFonts w:ascii="宋体" w:hAnsi="宋体" w:eastAsia="宋体" w:cs="宋体"/>
          <w:b/>
          <w:bCs/>
          <w:kern w:val="36"/>
          <w:sz w:val="48"/>
          <w:szCs w:val="48"/>
        </w:rPr>
        <w:t> 3 仿真结果</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需要根据实际情况设置PWM周期和载波频率。</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857625" cy="3009900"/>
            <wp:effectExtent l="0" t="0" r="9525" b="0"/>
            <wp:docPr id="20" name="图片 20" descr="watermark,type_d3F5LXplbmhlaQ,shadow_50,text_Q1NETiBAbGnmn5DlvIDov4flhYk=,size_12,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atermark,type_d3F5LXplbmhlaQ,shadow_50,text_Q1NETiBAbGnmn5DlvIDov4flhYk=,size_12,color_FFFFFF,t_70,g_se,x_1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857625" cy="3009900"/>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此处观察马鞍波</w:t>
      </w:r>
    </w:p>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 </w:t>
      </w:r>
      <w:r>
        <w:rPr>
          <w:rFonts w:ascii="宋体" w:hAnsi="宋体" w:eastAsia="宋体" w:cs="宋体"/>
          <w:kern w:val="0"/>
          <w:sz w:val="24"/>
          <w:szCs w:val="24"/>
        </w:rPr>
        <w:drawing>
          <wp:inline distT="0" distB="0" distL="0" distR="0">
            <wp:extent cx="5274310" cy="3292475"/>
            <wp:effectExtent l="0" t="0" r="2540" b="3175"/>
            <wp:docPr id="4" name="图片 4" descr="watermark,type_d3F5LXplbmhlaQ,shadow_50,text_Q1NETiBAbGnmn5DlvIDov4flhYk=,size_20,color_FFFFFF,t_70,g_se,x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atermark,type_d3F5LXplbmhlaQ,shadow_50,text_Q1NETiBAbGnmn5DlvIDov4flhYk=,size_20,color_FFFFFF,t_70,g_se,x_1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5274310" cy="3292475"/>
                    </a:xfrm>
                    <a:prstGeom prst="rect">
                      <a:avLst/>
                    </a:prstGeom>
                    <a:noFill/>
                    <a:ln>
                      <a:noFill/>
                    </a:ln>
                  </pic:spPr>
                </pic:pic>
              </a:graphicData>
            </a:graphic>
          </wp:inline>
        </w:drawing>
      </w:r>
      <w:r>
        <w:rPr>
          <w:rFonts w:ascii="MS Gothic" w:hAnsi="MS Gothic" w:eastAsia="MS Gothic" w:cs="MS Gothic"/>
          <w:kern w:val="0"/>
          <w:sz w:val="24"/>
          <w:szCs w:val="24"/>
        </w:rPr>
        <w:drawing>
          <wp:inline distT="0" distB="0" distL="0" distR="0">
            <wp:extent cx="142875" cy="142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rPr>
          <w:rFonts w:hint="eastAsia" w:ascii="MS Gothic" w:hAnsi="MS Gothic" w:eastAsia="MS Gothic" w:cs="MS Gothic"/>
          <w:kern w:val="0"/>
          <w:sz w:val="24"/>
          <w:szCs w:val="24"/>
        </w:rPr>
        <w:t>​</w:t>
      </w:r>
      <w:bookmarkStart w:id="0" w:name="_GoBack"/>
      <w:bookmarkEnd w:id="0"/>
    </w:p>
    <w:p>
      <w:r>
        <w:rPr>
          <w:rFonts w:ascii="MS Gothic" w:hAnsi="MS Gothic" w:eastAsia="MS Gothic" w:cs="MS Gothic"/>
          <w:kern w:val="0"/>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NiMmJjMGUyMDNhMGI0MjllZTc4OTE3ODRjOTBjMWQifQ=="/>
  </w:docVars>
  <w:rsids>
    <w:rsidRoot w:val="00244550"/>
    <w:rsid w:val="00244550"/>
    <w:rsid w:val="008937EC"/>
    <w:rsid w:val="00930D9E"/>
    <w:rsid w:val="00D43D15"/>
    <w:rsid w:val="00E16B77"/>
    <w:rsid w:val="07A479D5"/>
    <w:rsid w:val="1C6568C1"/>
    <w:rsid w:val="60E46D2D"/>
    <w:rsid w:val="65650F22"/>
    <w:rsid w:val="67576139"/>
    <w:rsid w:val="70502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9"/>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标题 1 字符"/>
    <w:basedOn w:val="6"/>
    <w:link w:val="2"/>
    <w:uiPriority w:val="9"/>
    <w:rPr>
      <w:rFonts w:ascii="宋体" w:hAnsi="宋体" w:eastAsia="宋体" w:cs="宋体"/>
      <w:b/>
      <w:bCs/>
      <w:kern w:val="36"/>
      <w:sz w:val="48"/>
      <w:szCs w:val="48"/>
    </w:rPr>
  </w:style>
  <w:style w:type="character" w:customStyle="1" w:styleId="9">
    <w:name w:val="标题 2 字符"/>
    <w:basedOn w:val="6"/>
    <w:link w:val="3"/>
    <w:uiPriority w:val="9"/>
    <w:rPr>
      <w:rFonts w:ascii="宋体" w:hAnsi="宋体" w:eastAsia="宋体" w:cs="宋体"/>
      <w:b/>
      <w:bCs/>
      <w:kern w:val="0"/>
      <w:sz w:val="36"/>
      <w:szCs w:val="36"/>
    </w:rPr>
  </w:style>
  <w:style w:type="character" w:customStyle="1" w:styleId="10">
    <w:name w:val="cke_image_resizer"/>
    <w:basedOn w:val="6"/>
    <w:uiPriority w:val="0"/>
  </w:style>
  <w:style w:type="character" w:customStyle="1" w:styleId="11">
    <w:name w:val="cke_widget_edit_container"/>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1" Type="http://schemas.openxmlformats.org/officeDocument/2006/relationships/fontTable" Target="fontTable.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230</Words>
  <Characters>1313</Characters>
  <Lines>10</Lines>
  <Paragraphs>3</Paragraphs>
  <TotalTime>0</TotalTime>
  <ScaleCrop>false</ScaleCrop>
  <LinksUpToDate>false</LinksUpToDate>
  <CharactersWithSpaces>1540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2023-03-24T07:27:00Z</dcterms:created>
  <dc:creator>zyh</dc:creator>
  <cp:lastModifiedBy>Administrator</cp:lastModifiedBy>
  <dcterms:modified xsi:type="dcterms:W3CDTF">2024-07-27T06:04:35Z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957ABF64624C41119383A126E55C11F2_12</vt:lpwstr>
  </property>
</Properties>
</file>