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  <w:gridCol w:w="100"/>
      </w:tblGrid>
      <w:tr>
        <w:tc>
          <w:tcPr>
            <w:tcW w:type="pct" w:w="12%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color="auto" w:val="clear"/>
            <w:tcMar>
              <w:top w:type="dxa" w:w="300"/>
              <w:left w:type="dxa" w:w="400"/>
              <w:bottom w:type="dxa" w:w="300"/>
              <w:right w:type="dxa" w:w="400"/>
            </w:tcMar>
            <w:vAlign w:val="center"/>
          </w:tcPr>
          <w:p>
            <w:r>
              <w:drawing>
                <wp:inline distT="0" distB="0" distL="0" distR="0">
                  <wp:extent cx="685800" cy="685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88%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color="auto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/>
            </w:pPr>
            <w:r>
              <w:rPr>
                <w:rFonts w:ascii="Inter" w:cs="Microsoft YaHei" w:eastAsia="Microsoft YaHei" w:hAnsi="Inter"/>
                <w:b/>
                <w:bCs/>
                <w:color w:val="FFFFFF"/>
                <w:sz w:val="40"/>
                <w:szCs w:val="40"/>
              </w:rPr>
              <w:t xml:space="preserve">李绅志</w:t>
            </w:r>
          </w:p>
          <w:p>
            <w:pPr>
              <w:spacing w:after="160"/>
            </w:pPr>
            <w:r>
              <w:rPr>
                <w:rFonts w:ascii="Inter" w:cs="Microsoft YaHei" w:eastAsia="Microsoft YaHei" w:hAnsi="Inter"/>
                <w:color w:val="e94560"/>
                <w:sz w:val="24"/>
                <w:szCs w:val="24"/>
              </w:rPr>
              <w:t xml:space="preserve">大模型应用开发</w:t>
            </w:r>
          </w:p>
          <w:p>
            <w:r>
              <w:rPr>
                <w:rFonts w:ascii="Inter" w:cs="Microsoft YaHei" w:eastAsia="Microsoft YaHei" w:hAnsi="Inter"/>
                <w:color w:val="FFFFFF"/>
                <w:sz w:val="20"/>
                <w:szCs w:val="20"/>
              </w:rPr>
              <w:t xml:space="preserve">27  |  男  |  满族  |  邮箱：17575002071@163.com  |  电话：17575002071</w:t>
            </w:r>
          </w:p>
        </w:tc>
      </w:tr>
    </w:tbl>
    <w:p>
      <w:pPr>
        <w:pBdr>
          <w:bottom w:val="single" w:color="e94560" w:sz="6"/>
        </w:pBdr>
        <w:spacing w:after="0" w:before="0"/>
      </w:pPr>
    </w:p>
    <w:p>
      <w:pPr>
        <w:spacing w:after="160"/>
      </w:pPr>
    </w:p>
    <w:p>
      <w:pPr>
        <w:pBdr>
          <w:left w:val="single" w:color="e94560" w:sz="18" w:space="8"/>
        </w:pBdr>
        <w:spacing w:after="120" w:before="320"/>
        <w:ind w:left="120"/>
      </w:pPr>
      <w:r>
        <w:rPr>
          <w:rFonts w:ascii="Inter" w:cs="Microsoft YaHei" w:eastAsia="Microsoft YaHei" w:hAnsi="Inter"/>
          <w:b/>
          <w:bCs/>
          <w:color w:val="e94560"/>
          <w:sz w:val="26"/>
          <w:szCs w:val="26"/>
        </w:rPr>
        <w:t xml:space="preserve">个人简介</w:t>
      </w:r>
    </w:p>
    <w:p>
      <w:pPr>
        <w:spacing w:line="276"/>
      </w:pPr>
      <w:r>
        <w:rPr>
          <w:rFonts w:ascii="Inter" w:cs="Microsoft YaHei" w:eastAsia="Microsoft YaHei" w:hAnsi="Inter"/>
          <w:color w:val="333333"/>
          <w:sz w:val="22"/>
          <w:szCs w:val="22"/>
        </w:rPr>
        <w:t xml:space="preserve">拥有5年AI应用开发与大数据工程经验，专注于大语言模型（LLM）应用落地与企业级AI产品架构设计。深度掌握Agent架构、RAG知识库系统、多模型对话平台等前沿技术方向，具备从0到1搭建企业级AI应用平台的实战经验。曾主导广发基金、杭州银行等金融行业智能化项目，成功落地智能运维诊断平台、知识问答系统等多个核心AI产品。精通Python、LangChain、LangGraph等技术栈，善于将大模型能力与传统业务深度结合，实现降本增效的业务价值。</w:t>
      </w:r>
    </w:p>
    <w:p>
      <w:pPr>
        <w:pBdr>
          <w:left w:val="single" w:color="e94560" w:sz="18" w:space="8"/>
        </w:pBdr>
        <w:spacing w:after="120" w:before="320"/>
        <w:ind w:left="120"/>
      </w:pPr>
      <w:r>
        <w:rPr>
          <w:rFonts w:ascii="Inter" w:cs="Microsoft YaHei" w:eastAsia="Microsoft YaHei" w:hAnsi="Inter"/>
          <w:b/>
          <w:bCs/>
          <w:color w:val="e94560"/>
          <w:sz w:val="26"/>
          <w:szCs w:val="26"/>
        </w:rPr>
        <w:t xml:space="preserve">技能特长</w:t>
      </w:r>
    </w:p>
    <w:p>
      <w:pPr>
        <w:spacing w:after="60" w:line="276"/>
      </w:pPr>
      <w:r>
        <w:rPr>
          <w:rFonts w:ascii="Inter" w:cs="Microsoft YaHei" w:eastAsia="Microsoft YaHei" w:hAnsi="Inter"/>
          <w:b/>
          <w:bCs/>
          <w:color w:val="1a1a1a"/>
          <w:sz w:val="22"/>
          <w:szCs w:val="22"/>
        </w:rPr>
        <w:t xml:space="preserve">AI应用开发: </w:t>
      </w:r>
      <w:r>
        <w:rPr>
          <w:rFonts w:ascii="Inter" w:cs="Microsoft YaHei" w:eastAsia="Microsoft YaHei" w:hAnsi="Inter"/>
          <w:color w:val="333333"/>
          <w:sz w:val="22"/>
          <w:szCs w:val="22"/>
        </w:rPr>
        <w:t xml:space="preserve">LangChain, LangGraph, Spring AI, RAG架构设计, Agent智能体开发, Prompt Engineering, 向量数据库(Milvus), Embedding模型</w:t>
      </w:r>
    </w:p>
    <w:p>
      <w:pPr>
        <w:spacing w:after="60" w:line="276"/>
      </w:pPr>
      <w:r>
        <w:rPr>
          <w:rFonts w:ascii="Inter" w:cs="Microsoft YaHei" w:eastAsia="Microsoft YaHei" w:hAnsi="Inter"/>
          <w:b/>
          <w:bCs/>
          <w:color w:val="1a1a1a"/>
          <w:sz w:val="22"/>
          <w:szCs w:val="22"/>
        </w:rPr>
        <w:t xml:space="preserve">大数据技术: </w:t>
      </w:r>
      <w:r>
        <w:rPr>
          <w:rFonts w:ascii="Inter" w:cs="Microsoft YaHei" w:eastAsia="Microsoft YaHei" w:hAnsi="Inter"/>
          <w:color w:val="333333"/>
          <w:sz w:val="22"/>
          <w:szCs w:val="22"/>
        </w:rPr>
        <w:t xml:space="preserve">Hadoop生态系统, Flink流计算, Spark数据处理, 数据仓库建设, ETL流程开发</w:t>
      </w:r>
    </w:p>
    <w:p>
      <w:pPr>
        <w:spacing w:after="60" w:line="276"/>
      </w:pPr>
      <w:r>
        <w:rPr>
          <w:rFonts w:ascii="Inter" w:cs="Microsoft YaHei" w:eastAsia="Microsoft YaHei" w:hAnsi="Inter"/>
          <w:b/>
          <w:bCs/>
          <w:color w:val="1a1a1a"/>
          <w:sz w:val="22"/>
          <w:szCs w:val="22"/>
        </w:rPr>
        <w:t xml:space="preserve">后端开发: </w:t>
      </w:r>
      <w:r>
        <w:rPr>
          <w:rFonts w:ascii="Inter" w:cs="Microsoft YaHei" w:eastAsia="Microsoft YaHei" w:hAnsi="Inter"/>
          <w:color w:val="333333"/>
          <w:sz w:val="22"/>
          <w:szCs w:val="22"/>
        </w:rPr>
        <w:t xml:space="preserve">Python, FastAPI, Spring Boot, PostgreSQL, Redis, 微服务架构</w:t>
      </w:r>
    </w:p>
    <w:p>
      <w:pPr>
        <w:pBdr>
          <w:left w:val="single" w:color="e94560" w:sz="18" w:space="8"/>
        </w:pBdr>
        <w:spacing w:after="120" w:before="320"/>
        <w:ind w:left="120"/>
      </w:pPr>
      <w:r>
        <w:rPr>
          <w:rFonts w:ascii="Inter" w:cs="Microsoft YaHei" w:eastAsia="Microsoft YaHei" w:hAnsi="Inter"/>
          <w:b/>
          <w:bCs/>
          <w:color w:val="e94560"/>
          <w:sz w:val="26"/>
          <w:szCs w:val="26"/>
        </w:rPr>
        <w:t xml:space="preserve">项目经历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e94560" w:sz="6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5%"/>
                </w:tcPr>
                <w:p>
                  <w:r>
                    <w:rPr>
                      <w:rFonts w:ascii="Inter" w:cs="Microsoft YaHei" w:eastAsia="Microsoft YaHei" w:hAnsi="Inter"/>
                      <w:b/>
                      <w:bCs/>
                      <w:color w:val="1a1a1a"/>
                      <w:sz w:val="24"/>
                      <w:szCs w:val="24"/>
                    </w:rPr>
                    <w:t xml:space="preserve">基于大模型Agent的智能运维诊断平台</w:t>
                  </w:r>
                </w:p>
              </w:tc>
              <w:tc>
                <w:tcPr>
                  <w:tcW w:type="pct" w:w="25%"/>
                </w:tcPr>
                <w:p>
                  <w:pPr>
                    <w:jc w:val="right"/>
                  </w:pPr>
                  <w:r>
                    <w:rPr>
                      <w:rFonts w:ascii="Inter" w:cs="Microsoft YaHei" w:eastAsia="Microsoft YaHei" w:hAnsi="Inter"/>
                      <w:color w:val="71717a"/>
                      <w:sz w:val="20"/>
                      <w:szCs w:val="20"/>
                    </w:rPr>
                    <w:t xml:space="preserve">2025-08 - 2025-11</w:t>
                  </w:r>
                </w:p>
              </w:tc>
            </w:tr>
          </w:tbl>
          <w:p>
            <w:pPr>
              <w:spacing w:after="40" w:before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针对传统运维监控平台告警风暴、误报率高、根因定位耗时的痛点，基于ReAct框架设计并实现智能运维Agent系统，实现告警智能化处理与根因自动定位。</w:t>
            </w:r>
          </w:p>
          <w:p>
            <w:pPr>
              <w:spacing w:after="40" w:before="40"/>
            </w:pPr>
            <w:r>
              <w:rPr>
                <w:rFonts w:ascii="Inter" w:cs="Microsoft YaHei" w:eastAsia="Microsoft YaHei" w:hAnsi="Inter"/>
                <w:b/>
                <w:bCs/>
                <w:color w:val="666666"/>
                <w:sz w:val="20"/>
                <w:szCs w:val="20"/>
              </w:rPr>
              <w:t xml:space="preserve">Technologies: </w:t>
            </w:r>
            <w:r>
              <w:rPr>
                <w:rFonts w:ascii="Inter" w:cs="Microsoft YaHei" w:eastAsia="Microsoft YaHei" w:hAnsi="Inter"/>
                <w:color w:val="666666"/>
                <w:sz w:val="20"/>
                <w:szCs w:val="20"/>
              </w:rPr>
              <w:t xml:space="preserve">LangChain, LangGraph, Python, Zabbix API, 大模型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架构设计与工具集成：基于ReAct框架搭建运维诊断Agent，封装Zabbix、Prometheus等监控平台API作为执行工具，实现大模型自主查询实时指标、设备状态与历史日志，告警处理自动化率提升60%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智能分析工作流：设计多Agent协作流程，针对网络、数据库、应用层异常实现关联分析与根因定位，平均故障定位时间从30分钟缩短至5分钟，运维效率提升80%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效果验证与优化：通过A/B测试对比Agent智能诊断与传统规则告警，优化运维领域专用Prompt工程，冗余告警过滤准确率达85%，误报率降低40%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e94560" w:sz="6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5%"/>
                </w:tcPr>
                <w:p>
                  <w:r>
                    <w:rPr>
                      <w:rFonts w:ascii="Inter" w:cs="Microsoft YaHei" w:eastAsia="Microsoft YaHei" w:hAnsi="Inter"/>
                      <w:b/>
                      <w:bCs/>
                      <w:color w:val="1a1a1a"/>
                      <w:sz w:val="24"/>
                      <w:szCs w:val="24"/>
                    </w:rPr>
                    <w:t xml:space="preserve">生产运行中心智能问答系统（RAG知识库）</w:t>
                  </w:r>
                </w:p>
              </w:tc>
              <w:tc>
                <w:tcPr>
                  <w:tcW w:type="pct" w:w="25%"/>
                </w:tcPr>
                <w:p>
                  <w:pPr>
                    <w:jc w:val="right"/>
                  </w:pPr>
                  <w:r>
                    <w:rPr>
                      <w:rFonts w:ascii="Inter" w:cs="Microsoft YaHei" w:eastAsia="Microsoft YaHei" w:hAnsi="Inter"/>
                      <w:color w:val="71717a"/>
                      <w:sz w:val="20"/>
                      <w:szCs w:val="20"/>
                    </w:rPr>
                    <w:t xml:space="preserve">2025-02 - 2025-08</w:t>
                  </w:r>
                </w:p>
              </w:tc>
            </w:tr>
          </w:tbl>
          <w:p>
            <w:pPr>
              <w:spacing w:after="40" w:before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解决运维团队从海量非结构化文档中获取知识的效率问题，从零搭建企业级RAG知识库系统，实现智能化知识检索与问答。</w:t>
            </w:r>
          </w:p>
          <w:p>
            <w:pPr>
              <w:spacing w:after="40" w:before="40"/>
            </w:pPr>
            <w:r>
              <w:rPr>
                <w:rFonts w:ascii="Inter" w:cs="Microsoft YaHei" w:eastAsia="Microsoft YaHei" w:hAnsi="Inter"/>
                <w:b/>
                <w:bCs/>
                <w:color w:val="666666"/>
                <w:sz w:val="20"/>
                <w:szCs w:val="20"/>
              </w:rPr>
              <w:t xml:space="preserve">Technologies: </w:t>
            </w:r>
            <w:r>
              <w:rPr>
                <w:rFonts w:ascii="Inter" w:cs="Microsoft YaHei" w:eastAsia="Microsoft YaHei" w:hAnsi="Inter"/>
                <w:color w:val="666666"/>
                <w:sz w:val="20"/>
                <w:szCs w:val="20"/>
              </w:rPr>
              <w:t xml:space="preserve">Python, LangChain, Milvus, FastAPI, Embedding模型, Rerank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RAG流水线搭建：主导构建完整RAG架构，针对运维手册特点设计语义文本切分策略，保留上下文完整性，文档检索召回率提升至92%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混合检索架构设计：创新性采用BM25稀疏检索+向量检索的混合方案，集成Rerank重排机制，专业术语检索准确率从65%提升至88%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持续优化机制：构建Query Rewrite模块处理口语化提问，建立Bad Case追踪体系，持续迭代检索策略与Prompt，大模型幻觉率降低35%，用户满意度达90%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e94560" w:sz="6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5%"/>
                </w:tcPr>
                <w:p>
                  <w:r>
                    <w:rPr>
                      <w:rFonts w:ascii="Inter" w:cs="Microsoft YaHei" w:eastAsia="Microsoft YaHei" w:hAnsi="Inter"/>
                      <w:b/>
                      <w:bCs/>
                      <w:color w:val="1a1a1a"/>
                      <w:sz w:val="24"/>
                      <w:szCs w:val="24"/>
                    </w:rPr>
                    <w:t xml:space="preserve">投顾与营销策略智能对话助手</w:t>
                  </w:r>
                  <w:r>
                    <w:rPr>
                      <w:rFonts w:ascii="Inter" w:cs="Microsoft YaHei" w:eastAsia="Microsoft YaHei" w:hAnsi="Inter"/>
                      <w:color w:val="e94560"/>
                      <w:sz w:val="20"/>
                      <w:szCs w:val="20"/>
                    </w:rPr>
                    <w:t xml:space="preserve">  广发基金</w:t>
                  </w:r>
                </w:p>
              </w:tc>
              <w:tc>
                <w:tcPr>
                  <w:tcW w:type="pct" w:w="25%"/>
                </w:tcPr>
                <w:p>
                  <w:pPr>
                    <w:jc w:val="right"/>
                  </w:pPr>
                  <w:r>
                    <w:rPr>
                      <w:rFonts w:ascii="Inter" w:cs="Microsoft YaHei" w:eastAsia="Microsoft YaHei" w:hAnsi="Inter"/>
                      <w:color w:val="71717a"/>
                      <w:sz w:val="20"/>
                      <w:szCs w:val="20"/>
                    </w:rPr>
                    <w:t xml:space="preserve">2024-07 - 2024-11</w:t>
                  </w:r>
                </w:p>
              </w:tc>
            </w:tr>
          </w:tbl>
          <w:p>
            <w:pPr>
              <w:spacing w:after="40" w:before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为一线理财顾问提供实时的专业策略支持与合规话术生成，显著提升营销获客效率与客户服务质量。</w:t>
            </w:r>
          </w:p>
          <w:p>
            <w:pPr>
              <w:spacing w:after="40" w:before="40"/>
            </w:pPr>
            <w:r>
              <w:rPr>
                <w:rFonts w:ascii="Inter" w:cs="Microsoft YaHei" w:eastAsia="Microsoft YaHei" w:hAnsi="Inter"/>
                <w:b/>
                <w:bCs/>
                <w:color w:val="666666"/>
                <w:sz w:val="20"/>
                <w:szCs w:val="20"/>
              </w:rPr>
              <w:t xml:space="preserve">Technologies: </w:t>
            </w:r>
            <w:r>
              <w:rPr>
                <w:rFonts w:ascii="Inter" w:cs="Microsoft YaHei" w:eastAsia="Microsoft YaHei" w:hAnsi="Inter"/>
                <w:color w:val="666666"/>
                <w:sz w:val="20"/>
                <w:szCs w:val="20"/>
              </w:rPr>
              <w:t xml:space="preserve">Dify, RAG, Prompt Engineering, 意图识别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知识库构建与应用编排：依托Dify平台低代码搭建智能对话工作流，处理基金研报、投顾策略文档及合规话术库，构建高质量私有知识库，覆盖2000+金融产品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智能意图路由：设计意图识别网关，精准判别用户诉求（投顾策略分析/营销话术生成），自动路由至对应领域知识库，响应准确率提升至95%，合规性达100%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场景化Prompt优化：设计金融营销场景结构化Prompt，引导模型生成包含关键数据的标准化分析报告与话术，理财顾问获客效率提升50%，平均响应时间&lt;3秒</w:t>
            </w:r>
          </w:p>
        </w:tc>
      </w:tr>
    </w:tbl>
    <w:p>
      <w:pPr>
        <w:spacing w:after="60"/>
      </w:pP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"/>
      </w:tblGrid>
      <w:tr>
        <w:tc>
          <w:tcPr>
            <w:tcBorders>
              <w:top w:val="none" w:color="FFFFFF" w:sz="0"/>
              <w:left w:val="single" w:color="e94560" w:sz="6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75%"/>
                </w:tcPr>
                <w:p>
                  <w:r>
                    <w:rPr>
                      <w:rFonts w:ascii="Inter" w:cs="Microsoft YaHei" w:eastAsia="Microsoft YaHei" w:hAnsi="Inter"/>
                      <w:b/>
                      <w:bCs/>
                      <w:color w:val="1a1a1a"/>
                      <w:sz w:val="24"/>
                      <w:szCs w:val="24"/>
                    </w:rPr>
                    <w:t xml:space="preserve">企业级多模型智能对话服务平台</w:t>
                  </w:r>
                </w:p>
              </w:tc>
              <w:tc>
                <w:tcPr>
                  <w:tcW w:type="pct" w:w="25%"/>
                </w:tcPr>
                <w:p>
                  <w:pPr>
                    <w:jc w:val="right"/>
                  </w:pPr>
                  <w:r>
                    <w:rPr>
                      <w:rFonts w:ascii="Inter" w:cs="Microsoft YaHei" w:eastAsia="Microsoft YaHei" w:hAnsi="Inter"/>
                      <w:color w:val="71717a"/>
                      <w:sz w:val="20"/>
                      <w:szCs w:val="20"/>
                    </w:rPr>
                    <w:t xml:space="preserve">2024-03 - 2024-06</w:t>
                  </w:r>
                </w:p>
              </w:tc>
            </w:tr>
          </w:tbl>
          <w:p>
            <w:pPr>
              <w:spacing w:after="40" w:before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响应业务端大模型需求激增，设计并实现统一的多模型管理平台，提供高质量对话体验与完整的上下文管理能力。</w:t>
            </w:r>
          </w:p>
          <w:p>
            <w:pPr>
              <w:spacing w:after="40" w:before="40"/>
            </w:pPr>
            <w:r>
              <w:rPr>
                <w:rFonts w:ascii="Inter" w:cs="Microsoft YaHei" w:eastAsia="Microsoft YaHei" w:hAnsi="Inter"/>
                <w:b/>
                <w:bCs/>
                <w:color w:val="666666"/>
                <w:sz w:val="20"/>
                <w:szCs w:val="20"/>
              </w:rPr>
              <w:t xml:space="preserve">Technologies: </w:t>
            </w:r>
            <w:r>
              <w:rPr>
                <w:rFonts w:ascii="Inter" w:cs="Microsoft YaHei" w:eastAsia="Microsoft YaHei" w:hAnsi="Inter"/>
                <w:color w:val="666666"/>
                <w:sz w:val="20"/>
                <w:szCs w:val="20"/>
              </w:rPr>
              <w:t xml:space="preserve">Python, FastAPI, Redis, SSE流式传输, 多模型API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多模型统一接入：封装千问、文心一言、GPT等主流大模型API，支持一键切换，设计基于规则的模型路由机制，实现性能与成本的动态平衡，API调用成本降低30%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长对话上下文管理：设计基于Redis的Session Memory模块，创新性引入动态对话摘要+滑动窗口截断策略，支持长对话场景，上下文Token利用率提升60%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line="276"/>
            </w:pPr>
            <w:r>
              <w:rPr>
                <w:rFonts w:ascii="Inter" w:cs="Microsoft YaHei" w:eastAsia="Microsoft YaHei" w:hAnsi="Inter"/>
                <w:color w:val="333333"/>
                <w:sz w:val="22"/>
                <w:szCs w:val="22"/>
              </w:rPr>
              <w:t xml:space="preserve">工程化与性能优化：优化SSE流式传输机制，首字响应时间（TTFT）降低至500ms内，集成用户鉴权、Token计费与全链路日志追踪，支撑日均10000+次对话请求</w:t>
            </w:r>
          </w:p>
        </w:tc>
      </w:tr>
    </w:tbl>
    <w:p>
      <w:pPr>
        <w:spacing w:after="60"/>
      </w:pP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Microsoft YaHei" w:eastAsia="Microsoft YaHei" w:hAnsi="Inter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02d9f096fb31fc2422c07e01e9990d1c9523f0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2026-04-09T13:24:53.752Z</dcterms:created>
  <dcterms:modified xsi:type="dcterms:W3CDTF">2026-04-09T13:24:53.752Z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