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CASO 3 – COSTEO ESTANDAR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Carpintería XX, que fabrica muebles recibe un pedido de un cliente de un juego de dormitorio compuesto de una cama, un tocador con asiento y un guarda ropa para lo cual pide una cotización de cuanto le costaría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hace el diseño y determina la cantidad de materiales que necesita</w:t>
      </w:r>
    </w:p>
    <w:tbl>
      <w:tblPr>
        <w:tblStyle w:val="Table1"/>
        <w:tblW w:w="891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8"/>
        <w:gridCol w:w="2741"/>
        <w:gridCol w:w="1276"/>
        <w:gridCol w:w="850"/>
        <w:gridCol w:w="851"/>
        <w:gridCol w:w="567"/>
        <w:gridCol w:w="567"/>
        <w:gridCol w:w="581"/>
        <w:tblGridChange w:id="0">
          <w:tblGrid>
            <w:gridCol w:w="1478"/>
            <w:gridCol w:w="2741"/>
            <w:gridCol w:w="1276"/>
            <w:gridCol w:w="850"/>
            <w:gridCol w:w="851"/>
            <w:gridCol w:w="567"/>
            <w:gridCol w:w="567"/>
            <w:gridCol w:w="5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ESPECIFICACIOENES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Madera cedro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Tablas de 2” de espesor de 10 pies tablar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Pzas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Material tapicería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Tela, esponja y otros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Pzas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Pegamento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Sintético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Lts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Sellador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madera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Lts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Barniz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madera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Pzas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Trabajan 1 Carpintero, 15 días se le paga 300 Bs/día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  <w:t xml:space="preserve">  3 Ayudantes, 15 días se le paga 200 Bs/día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Los consumibles son el 10% del costo de los materiales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Los Costos indirectos o fijos  representan el 20% del costo directo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El gerente tiene la expectativa de 25% de utilidad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Calcular el precio de venta del juego de dormitorio</w:t>
        <w:tab/>
        <w:t xml:space="preserve">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