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5BF" w:rsidRDefault="00495850">
      <w:pPr>
        <w:pStyle w:val="Ttulo1"/>
        <w:keepNext w:val="0"/>
        <w:keepLines w:val="0"/>
        <w:spacing w:before="0" w:after="0"/>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Universidad Autónoma Gabriel René Moreno</w:t>
      </w:r>
    </w:p>
    <w:p w:rsidR="00D125BF" w:rsidRDefault="00495850">
      <w:pPr>
        <w:pStyle w:val="Ttulo1"/>
        <w:keepNext w:val="0"/>
        <w:keepLines w:val="0"/>
        <w:spacing w:before="0" w:after="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Facultad de Ingeniería en Ciencias de la Computación y Telecomunicaciones</w:t>
      </w:r>
    </w:p>
    <w:p w:rsidR="00D125BF" w:rsidRDefault="00495850">
      <w:pPr>
        <w:pStyle w:val="Ttulo1"/>
        <w:keepNext w:val="0"/>
        <w:keepLines w:val="0"/>
        <w:spacing w:before="0" w:after="0"/>
        <w:jc w:val="center"/>
        <w:rPr>
          <w:rFonts w:ascii="Times New Roman" w:eastAsia="Times New Roman" w:hAnsi="Times New Roman" w:cs="Times New Roman"/>
          <w:i/>
          <w:sz w:val="28"/>
          <w:szCs w:val="28"/>
        </w:rPr>
      </w:pPr>
      <w:bookmarkStart w:id="0" w:name="_37hov5u6z9c" w:colFirst="0" w:colLast="0"/>
      <w:bookmarkEnd w:id="0"/>
      <w:r>
        <w:rPr>
          <w:rFonts w:ascii="Times New Roman" w:eastAsia="Times New Roman" w:hAnsi="Times New Roman" w:cs="Times New Roman"/>
          <w:i/>
          <w:sz w:val="28"/>
          <w:szCs w:val="28"/>
        </w:rPr>
        <w:t>Carrera de Ingeniería en Sistemas</w:t>
      </w:r>
    </w:p>
    <w:p w:rsidR="00D125BF" w:rsidRDefault="0049585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Título: Medición de la Velocidad de Internet</w:t>
      </w:r>
      <w:r>
        <w:rPr>
          <w:noProof/>
          <w:lang w:val="en-US" w:eastAsia="en-US"/>
        </w:rPr>
        <w:drawing>
          <wp:anchor distT="114300" distB="114300" distL="114300" distR="114300" simplePos="0" relativeHeight="251658240" behindDoc="0" locked="0" layoutInCell="1" hidden="0" allowOverlap="1">
            <wp:simplePos x="0" y="0"/>
            <wp:positionH relativeFrom="column">
              <wp:posOffset>1770225</wp:posOffset>
            </wp:positionH>
            <wp:positionV relativeFrom="paragraph">
              <wp:posOffset>219075</wp:posOffset>
            </wp:positionV>
            <wp:extent cx="2185988" cy="2733675"/>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85988" cy="2733675"/>
                    </a:xfrm>
                    <a:prstGeom prst="rect">
                      <a:avLst/>
                    </a:prstGeom>
                    <a:ln/>
                  </pic:spPr>
                </pic:pic>
              </a:graphicData>
            </a:graphic>
          </wp:anchor>
        </w:drawing>
      </w:r>
    </w:p>
    <w:p w:rsidR="00D125BF" w:rsidRDefault="00495850">
      <w:pPr>
        <w:spacing w:before="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Integrantes: </w:t>
      </w:r>
    </w:p>
    <w:p w:rsidR="006B62A1" w:rsidRDefault="006B62A1">
      <w:pPr>
        <w:spacing w:before="200" w:line="360" w:lineRule="auto"/>
        <w:rPr>
          <w:rFonts w:ascii="Times New Roman" w:eastAsia="Times New Roman" w:hAnsi="Times New Roman" w:cs="Times New Roman"/>
          <w:sz w:val="28"/>
          <w:szCs w:val="28"/>
        </w:rPr>
      </w:pPr>
    </w:p>
    <w:p w:rsidR="006B62A1" w:rsidRDefault="006B62A1">
      <w:pPr>
        <w:spacing w:before="200" w:line="360" w:lineRule="auto"/>
        <w:rPr>
          <w:rFonts w:ascii="Times New Roman" w:eastAsia="Times New Roman" w:hAnsi="Times New Roman" w:cs="Times New Roman"/>
          <w:sz w:val="28"/>
          <w:szCs w:val="28"/>
        </w:rPr>
      </w:pPr>
    </w:p>
    <w:p w:rsidR="006B62A1" w:rsidRDefault="006B62A1">
      <w:pPr>
        <w:spacing w:before="200" w:line="360" w:lineRule="auto"/>
        <w:rPr>
          <w:rFonts w:ascii="Times New Roman" w:eastAsia="Times New Roman" w:hAnsi="Times New Roman" w:cs="Times New Roman"/>
          <w:sz w:val="28"/>
          <w:szCs w:val="28"/>
        </w:rPr>
      </w:pPr>
    </w:p>
    <w:p w:rsidR="00D125BF" w:rsidRDefault="00495850">
      <w:pPr>
        <w:spacing w:before="200" w:line="360" w:lineRule="auto"/>
        <w:rPr>
          <w:rFonts w:ascii="Times New Roman" w:eastAsia="Times New Roman" w:hAnsi="Times New Roman" w:cs="Times New Roman"/>
          <w:sz w:val="32"/>
          <w:szCs w:val="32"/>
        </w:rPr>
      </w:pPr>
      <w:bookmarkStart w:id="1" w:name="_GoBack"/>
      <w:bookmarkEnd w:id="1"/>
      <w:r>
        <w:rPr>
          <w:rFonts w:ascii="Times New Roman" w:eastAsia="Times New Roman" w:hAnsi="Times New Roman" w:cs="Times New Roman"/>
          <w:b/>
          <w:sz w:val="32"/>
          <w:szCs w:val="32"/>
        </w:rPr>
        <w:t xml:space="preserve">Grupo: </w:t>
      </w:r>
      <w:r>
        <w:rPr>
          <w:rFonts w:ascii="Times New Roman" w:eastAsia="Times New Roman" w:hAnsi="Times New Roman" w:cs="Times New Roman"/>
          <w:sz w:val="32"/>
          <w:szCs w:val="32"/>
        </w:rPr>
        <w:t>4</w:t>
      </w:r>
    </w:p>
    <w:p w:rsidR="00D125BF" w:rsidRDefault="00495850">
      <w:pPr>
        <w:pStyle w:val="Ttulo4"/>
        <w:keepNext w:val="0"/>
        <w:keepLines w:val="0"/>
        <w:spacing w:before="0" w:after="40"/>
        <w:rPr>
          <w:rFonts w:ascii="Times New Roman" w:eastAsia="Times New Roman" w:hAnsi="Times New Roman" w:cs="Times New Roman"/>
          <w:color w:val="000000"/>
          <w:sz w:val="28"/>
          <w:szCs w:val="28"/>
        </w:rPr>
      </w:pPr>
      <w:bookmarkStart w:id="2" w:name="_40w38818pbv" w:colFirst="0" w:colLast="0"/>
      <w:bookmarkEnd w:id="2"/>
      <w:r>
        <w:rPr>
          <w:rFonts w:ascii="Times New Roman" w:eastAsia="Times New Roman" w:hAnsi="Times New Roman" w:cs="Times New Roman"/>
          <w:b/>
          <w:color w:val="000000"/>
          <w:sz w:val="32"/>
          <w:szCs w:val="32"/>
        </w:rPr>
        <w:t>Materia:</w:t>
      </w:r>
      <w:r>
        <w:rPr>
          <w:rFonts w:ascii="Times New Roman" w:eastAsia="Times New Roman" w:hAnsi="Times New Roman" w:cs="Times New Roman"/>
          <w:color w:val="000000"/>
          <w:sz w:val="28"/>
          <w:szCs w:val="28"/>
        </w:rPr>
        <w:t xml:space="preserve"> Ingeniería de la Calidad</w:t>
      </w:r>
    </w:p>
    <w:p w:rsidR="00D125BF" w:rsidRDefault="0049585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2"/>
          <w:szCs w:val="32"/>
        </w:rPr>
        <w:t>Sigla-Grupo:</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ELC005-SA</w:t>
      </w:r>
    </w:p>
    <w:p w:rsidR="00D125BF" w:rsidRDefault="0049585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2"/>
          <w:szCs w:val="32"/>
        </w:rPr>
        <w:t>Fecha:</w:t>
      </w:r>
      <w:r>
        <w:rPr>
          <w:rFonts w:ascii="Times New Roman" w:eastAsia="Times New Roman" w:hAnsi="Times New Roman" w:cs="Times New Roman"/>
          <w:b/>
          <w:sz w:val="28"/>
          <w:szCs w:val="28"/>
        </w:rPr>
        <w:t xml:space="preserve"> </w:t>
      </w:r>
      <w:r w:rsidR="004D662E">
        <w:rPr>
          <w:rFonts w:ascii="Times New Roman" w:eastAsia="Times New Roman" w:hAnsi="Times New Roman" w:cs="Times New Roman"/>
          <w:sz w:val="28"/>
          <w:szCs w:val="28"/>
        </w:rPr>
        <w:t>01</w:t>
      </w:r>
      <w:r>
        <w:rPr>
          <w:rFonts w:ascii="Times New Roman" w:eastAsia="Times New Roman" w:hAnsi="Times New Roman" w:cs="Times New Roman"/>
          <w:sz w:val="28"/>
          <w:szCs w:val="28"/>
        </w:rPr>
        <w:t xml:space="preserve"> de </w:t>
      </w:r>
      <w:r w:rsidR="004D662E">
        <w:rPr>
          <w:rFonts w:ascii="Times New Roman" w:eastAsia="Times New Roman" w:hAnsi="Times New Roman" w:cs="Times New Roman"/>
          <w:sz w:val="28"/>
          <w:szCs w:val="28"/>
        </w:rPr>
        <w:t>Junio</w:t>
      </w:r>
      <w:r>
        <w:rPr>
          <w:rFonts w:ascii="Times New Roman" w:eastAsia="Times New Roman" w:hAnsi="Times New Roman" w:cs="Times New Roman"/>
          <w:sz w:val="28"/>
          <w:szCs w:val="28"/>
        </w:rPr>
        <w:t xml:space="preserve"> de 2021</w:t>
      </w:r>
    </w:p>
    <w:p w:rsidR="00D125BF" w:rsidRDefault="00D125BF"/>
    <w:p w:rsidR="00D125BF" w:rsidRDefault="00D125BF"/>
    <w:p w:rsidR="00D125BF" w:rsidRDefault="00D125BF"/>
    <w:p w:rsidR="00D125BF" w:rsidRDefault="00D125BF"/>
    <w:p w:rsidR="00D125BF" w:rsidRDefault="00D125BF"/>
    <w:p w:rsidR="00D125BF" w:rsidRDefault="0049585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Santa Cruz - Bolivia</w:t>
      </w:r>
    </w:p>
    <w:p w:rsidR="00D125BF" w:rsidRDefault="00495850">
      <w:pPr>
        <w:pStyle w:val="Ttulo1"/>
        <w:spacing w:before="0" w:after="0" w:line="480" w:lineRule="auto"/>
        <w:jc w:val="both"/>
        <w:rPr>
          <w:rFonts w:ascii="Times New Roman" w:eastAsia="Times New Roman" w:hAnsi="Times New Roman" w:cs="Times New Roman"/>
          <w:b/>
        </w:rPr>
      </w:pPr>
      <w:bookmarkStart w:id="3" w:name="_dpzg9ndb66s4" w:colFirst="0" w:colLast="0"/>
      <w:bookmarkEnd w:id="3"/>
      <w:r>
        <w:rPr>
          <w:rFonts w:ascii="Times New Roman" w:eastAsia="Times New Roman" w:hAnsi="Times New Roman" w:cs="Times New Roman"/>
          <w:b/>
        </w:rPr>
        <w:t>Introducción a la Medición.</w:t>
      </w:r>
    </w:p>
    <w:p w:rsidR="00D125BF" w:rsidRDefault="0049585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trabajo se muestra acerca de las mediciones de internet de cada integrante del grupo utilizando una herramienta para la medición de la velocidad del servicio de internet como ser</w:t>
      </w:r>
      <w:r w:rsidR="004D662E">
        <w:rPr>
          <w:rFonts w:ascii="Times New Roman" w:eastAsia="Times New Roman" w:hAnsi="Times New Roman" w:cs="Times New Roman"/>
          <w:sz w:val="24"/>
          <w:szCs w:val="24"/>
        </w:rPr>
        <w:t>: OpenSignal</w:t>
      </w:r>
      <w:r>
        <w:rPr>
          <w:rFonts w:ascii="Times New Roman" w:eastAsia="Times New Roman" w:hAnsi="Times New Roman" w:cs="Times New Roman"/>
          <w:sz w:val="24"/>
          <w:szCs w:val="24"/>
        </w:rPr>
        <w:t>.</w:t>
      </w:r>
    </w:p>
    <w:p w:rsidR="00D125BF" w:rsidRDefault="0049585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tomaron en cuenta como datos principales la Subida, Bajada y Latencia, además de datos adicionales como ser el Proveedor del Servicio, la Zona en la que se encuentra cada integrante y el Plan que tiene contratado.</w:t>
      </w:r>
    </w:p>
    <w:p w:rsidR="00D125BF" w:rsidRDefault="0049585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dará una breve definición de los datos principales:</w:t>
      </w:r>
    </w:p>
    <w:p w:rsidR="00D125BF" w:rsidRDefault="0049585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Subida (Upload).</w:t>
      </w:r>
      <w:r>
        <w:rPr>
          <w:rFonts w:ascii="Times New Roman" w:eastAsia="Times New Roman" w:hAnsi="Times New Roman" w:cs="Times New Roman"/>
          <w:sz w:val="24"/>
          <w:szCs w:val="24"/>
        </w:rPr>
        <w:t xml:space="preserve"> Qué tan rápido se envía la información de tu dispositivo a Internet. Una velocidad de carga alta es útil cuando se tiene que enviar archivos grandes por correo electrónico. </w:t>
      </w:r>
    </w:p>
    <w:p w:rsidR="00D125BF" w:rsidRDefault="0049585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Bajada (Download).</w:t>
      </w:r>
      <w:r>
        <w:rPr>
          <w:rFonts w:ascii="Times New Roman" w:eastAsia="Times New Roman" w:hAnsi="Times New Roman" w:cs="Times New Roman"/>
          <w:sz w:val="24"/>
          <w:szCs w:val="24"/>
        </w:rPr>
        <w:t xml:space="preserve"> Qué tan rápido puedes descargar información de un servidor en Internet a tu dispositivo. La mayoría de las conexiones están diseñadas para descargar mucho más rápido de lo que cargan, ya que la mayor parte de la actividad en línea, como cargar páginas web o transmitir videos, consiste en descargas.</w:t>
      </w:r>
    </w:p>
    <w:p w:rsidR="00D125BF" w:rsidRDefault="0049585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Latencia.</w:t>
      </w:r>
      <w:r>
        <w:rPr>
          <w:rFonts w:ascii="Times New Roman" w:eastAsia="Times New Roman" w:hAnsi="Times New Roman" w:cs="Times New Roman"/>
          <w:sz w:val="24"/>
          <w:szCs w:val="24"/>
        </w:rPr>
        <w:t xml:space="preserve"> También denominado Ping, es el tiempo de reacción de tu conexión: que tan rápido tu dispositivo recibe una respuesta luego de que hayas enviado una solicitud. El Ping se mide en milisegundos.</w:t>
      </w:r>
    </w:p>
    <w:p w:rsidR="00D125BF" w:rsidRDefault="00495850">
      <w:pPr>
        <w:numPr>
          <w:ilvl w:val="0"/>
          <w:numId w:val="2"/>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Mbps.</w:t>
      </w:r>
      <w:r>
        <w:rPr>
          <w:rFonts w:ascii="Times New Roman" w:eastAsia="Times New Roman" w:hAnsi="Times New Roman" w:cs="Times New Roman"/>
          <w:sz w:val="24"/>
          <w:szCs w:val="24"/>
        </w:rPr>
        <w:t xml:space="preserve"> Megabits por segundo. Esta es una unidad estándar de medición de la velocidad de Internet. Hay 8 bits en cada byte.</w:t>
      </w:r>
    </w:p>
    <w:p w:rsidR="00D125BF" w:rsidRDefault="00495850">
      <w:pPr>
        <w:spacing w:before="240" w:after="240" w:line="480" w:lineRule="auto"/>
        <w:jc w:val="both"/>
        <w:sectPr w:rsidR="00D125BF">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El presente trabajo se ha realizado para determinar </w:t>
      </w:r>
      <w:r w:rsidR="004D662E">
        <w:rPr>
          <w:rFonts w:ascii="Times New Roman" w:eastAsia="Times New Roman" w:hAnsi="Times New Roman" w:cs="Times New Roman"/>
          <w:sz w:val="24"/>
          <w:szCs w:val="24"/>
        </w:rPr>
        <w:t>cuál</w:t>
      </w:r>
      <w:r>
        <w:rPr>
          <w:rFonts w:ascii="Times New Roman" w:eastAsia="Times New Roman" w:hAnsi="Times New Roman" w:cs="Times New Roman"/>
          <w:sz w:val="24"/>
          <w:szCs w:val="24"/>
        </w:rPr>
        <w:t xml:space="preserve"> de todas las empresas que proveen servicio de Internet es la que mejor se adecúa a nuestras necesidades y exigencias, teniendo en </w:t>
      </w:r>
      <w:r>
        <w:rPr>
          <w:rFonts w:ascii="Times New Roman" w:eastAsia="Times New Roman" w:hAnsi="Times New Roman" w:cs="Times New Roman"/>
          <w:sz w:val="24"/>
          <w:szCs w:val="24"/>
        </w:rPr>
        <w:lastRenderedPageBreak/>
        <w:t>cuenta las velocidades mostradas en distintos horarios y en distintas zonas, además, si estas cumplen con la velocidad ofrecida en el plan contratado.</w:t>
      </w:r>
    </w:p>
    <w:p w:rsidR="004D662E" w:rsidRDefault="00495850" w:rsidP="004D662E">
      <w:pPr>
        <w:pStyle w:val="Ttulo1"/>
        <w:tabs>
          <w:tab w:val="left" w:pos="5740"/>
        </w:tabs>
        <w:spacing w:before="0" w:after="0" w:line="240" w:lineRule="auto"/>
        <w:rPr>
          <w:rFonts w:ascii="Times New Roman" w:eastAsia="Times New Roman" w:hAnsi="Times New Roman" w:cs="Times New Roman"/>
          <w:b/>
        </w:rPr>
      </w:pPr>
      <w:bookmarkStart w:id="4" w:name="_id2kcfuqaxqa" w:colFirst="0" w:colLast="0"/>
      <w:bookmarkEnd w:id="4"/>
      <w:r w:rsidRPr="004D662E">
        <w:rPr>
          <w:rFonts w:ascii="Times New Roman" w:eastAsia="Times New Roman" w:hAnsi="Times New Roman" w:cs="Times New Roman"/>
          <w:b/>
        </w:rPr>
        <w:lastRenderedPageBreak/>
        <w:t>La Lista de los Datos en Excel.</w:t>
      </w:r>
    </w:p>
    <w:p w:rsidR="004D662E" w:rsidRPr="004D662E" w:rsidRDefault="004D662E" w:rsidP="004D662E"/>
    <w:p w:rsidR="004D662E" w:rsidRPr="004D662E" w:rsidRDefault="004D662E" w:rsidP="004D662E"/>
    <w:p w:rsidR="004D662E" w:rsidRPr="004D662E" w:rsidRDefault="004D662E" w:rsidP="004D662E"/>
    <w:p w:rsidR="004D662E" w:rsidRPr="004D662E" w:rsidRDefault="004D662E" w:rsidP="004D662E"/>
    <w:p w:rsidR="004D662E" w:rsidRPr="004D662E" w:rsidRDefault="004D662E" w:rsidP="004D662E"/>
    <w:p w:rsidR="004D662E" w:rsidRPr="004D662E" w:rsidRDefault="004D662E" w:rsidP="004D662E"/>
    <w:p w:rsidR="004D662E" w:rsidRPr="004D662E" w:rsidRDefault="004D662E" w:rsidP="004D662E"/>
    <w:tbl>
      <w:tblPr>
        <w:tblStyle w:val="a"/>
        <w:tblW w:w="1395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349"/>
        <w:gridCol w:w="1349"/>
        <w:gridCol w:w="1349"/>
        <w:gridCol w:w="1349"/>
        <w:gridCol w:w="3163"/>
        <w:gridCol w:w="1349"/>
        <w:gridCol w:w="1349"/>
      </w:tblGrid>
      <w:tr w:rsidR="00D125BF" w:rsidTr="004D662E">
        <w:trPr>
          <w:trHeight w:val="621"/>
        </w:trPr>
        <w:tc>
          <w:tcPr>
            <w:tcW w:w="1350" w:type="dxa"/>
            <w:tcBorders>
              <w:top w:val="single" w:sz="6" w:space="0" w:color="FFFFFF"/>
              <w:left w:val="single" w:sz="6" w:space="0" w:color="FFFFFF"/>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lastRenderedPageBreak/>
              <w:t>nro. Secuencia</w:t>
            </w:r>
          </w:p>
        </w:tc>
        <w:tc>
          <w:tcPr>
            <w:tcW w:w="1350"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Fecha</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Hora</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Subida (Mbps)</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Bajada (Mbps)</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Latencia (ms)</w:t>
            </w:r>
          </w:p>
        </w:tc>
        <w:tc>
          <w:tcPr>
            <w:tcW w:w="3163"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Zona</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Proveedor</w:t>
            </w:r>
          </w:p>
        </w:tc>
        <w:tc>
          <w:tcPr>
            <w:tcW w:w="1349" w:type="dxa"/>
            <w:tcBorders>
              <w:top w:val="single" w:sz="6" w:space="0" w:color="FFFFFF"/>
              <w:left w:val="single" w:sz="6" w:space="0" w:color="CCCCCC"/>
              <w:bottom w:val="single" w:sz="6" w:space="0" w:color="666666"/>
              <w:right w:val="single" w:sz="6" w:space="0" w:color="FFFFFF"/>
            </w:tcBorders>
            <w:shd w:val="clear" w:color="auto" w:fill="20124D"/>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color w:val="FFFFFF"/>
                <w:sz w:val="22"/>
                <w:szCs w:val="22"/>
              </w:rPr>
              <w:t>Contrato (Mbps)</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5,57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5,76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6,40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25,3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6,55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24,9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7,44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4,98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5,06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22</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4,80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6,23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5,88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4,56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4,36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24,8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52</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5,31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lastRenderedPageBreak/>
              <w:t>21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5,32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4,37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53</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4º Anillo, Radial 26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30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15,50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15,08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15,50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Sur, Km 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Cotas</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11</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lastRenderedPageBreak/>
              <w:t>42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4,44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4,52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4,75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24/05/2021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4,01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5,03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4,94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5,13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25/05/2021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5,08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3,56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26/05/2021</w:t>
            </w:r>
          </w:p>
        </w:tc>
        <w:tc>
          <w:tcPr>
            <w:tcW w:w="1349" w:type="dxa"/>
            <w:tcBorders>
              <w:top w:val="single" w:sz="6" w:space="0" w:color="CCCCCC"/>
              <w:left w:val="single" w:sz="6" w:space="0" w:color="CCCCCC"/>
              <w:bottom w:val="single" w:sz="6" w:space="0" w:color="000000"/>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12:30:00</w:t>
            </w:r>
          </w:p>
        </w:tc>
        <w:tc>
          <w:tcPr>
            <w:tcW w:w="1349" w:type="dxa"/>
            <w:tcBorders>
              <w:top w:val="single" w:sz="6" w:space="0" w:color="CCCCCC"/>
              <w:left w:val="single" w:sz="6" w:space="0" w:color="CCCCCC"/>
              <w:bottom w:val="single" w:sz="6" w:space="0" w:color="000000"/>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000000"/>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4,9</w:t>
            </w:r>
          </w:p>
        </w:tc>
        <w:tc>
          <w:tcPr>
            <w:tcW w:w="1349" w:type="dxa"/>
            <w:tcBorders>
              <w:top w:val="single" w:sz="6" w:space="0" w:color="CCCCCC"/>
              <w:left w:val="single" w:sz="6" w:space="0" w:color="CCCCCC"/>
              <w:bottom w:val="single" w:sz="6" w:space="0" w:color="000000"/>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58</w:t>
            </w:r>
          </w:p>
        </w:tc>
        <w:tc>
          <w:tcPr>
            <w:tcW w:w="1350" w:type="dxa"/>
            <w:tcBorders>
              <w:top w:val="single" w:sz="6" w:space="0" w:color="CCCCCC"/>
              <w:left w:val="single" w:sz="6" w:space="0" w:color="CCCCCC"/>
              <w:bottom w:val="single" w:sz="6" w:space="0" w:color="666666"/>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27/05/2021</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14:17:00</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15,3</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59</w:t>
            </w:r>
          </w:p>
        </w:tc>
        <w:tc>
          <w:tcPr>
            <w:tcW w:w="1350" w:type="dxa"/>
            <w:tcBorders>
              <w:top w:val="single" w:sz="6" w:space="0" w:color="CCCCCC"/>
              <w:left w:val="single" w:sz="6" w:space="0" w:color="CCCCCC"/>
              <w:bottom w:val="single" w:sz="6" w:space="0" w:color="666666"/>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28/05/2021</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15:05:14</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14,9</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4,82</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60</w:t>
            </w:r>
          </w:p>
        </w:tc>
        <w:tc>
          <w:tcPr>
            <w:tcW w:w="1350" w:type="dxa"/>
            <w:tcBorders>
              <w:top w:val="single" w:sz="6" w:space="0" w:color="CCCCCC"/>
              <w:left w:val="single" w:sz="6" w:space="0" w:color="CCCCCC"/>
              <w:bottom w:val="single" w:sz="6" w:space="0" w:color="666666"/>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29/05/2021</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21:27:00</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14,6</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4,61</w:t>
            </w:r>
          </w:p>
        </w:tc>
        <w:tc>
          <w:tcPr>
            <w:tcW w:w="13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Zona Virgen de Luján</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Tigo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35,2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32</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154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lastRenderedPageBreak/>
              <w:t>63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24,6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54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9,85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37,4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22:00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11,2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38,04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10,65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37,8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30,4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7,42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27,04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12:00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8,76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32,4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34</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9,67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32,58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8,09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29,72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6,4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22,84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45</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22:00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11,8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38,82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0:00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10,82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36,07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41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Pr="004D662E" w:rsidRDefault="00495850" w:rsidP="004D662E">
            <w:pPr>
              <w:pStyle w:val="Ttulo1"/>
              <w:spacing w:before="0" w:after="0" w:line="240" w:lineRule="auto"/>
              <w:jc w:val="center"/>
              <w:rPr>
                <w:sz w:val="20"/>
                <w:szCs w:val="20"/>
                <w:lang w:val="en-US"/>
              </w:rPr>
            </w:pPr>
            <w:r w:rsidRPr="004D662E">
              <w:rPr>
                <w:b/>
                <w:sz w:val="22"/>
                <w:szCs w:val="22"/>
                <w:lang w:val="en-US"/>
              </w:rPr>
              <w:t>Sur Plan 3000 Urb Guapuru I</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Digital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40</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14,76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20/05/2021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14,83</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9,08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80</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7,04</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14,45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21</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81</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21/05/2021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13,45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20</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82</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7,08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13,18</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83</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lastRenderedPageBreak/>
              <w:t>84</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13,92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85</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22/05/2021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86</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14,79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16</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87</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17:00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7,16</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14,85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88</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18:00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7,25</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14,07</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15</w:t>
            </w:r>
          </w:p>
        </w:tc>
      </w:tr>
      <w:tr w:rsidR="00D125BF" w:rsidTr="004D662E">
        <w:trPr>
          <w:trHeight w:val="315"/>
        </w:trPr>
        <w:tc>
          <w:tcPr>
            <w:tcW w:w="1350"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89</w:t>
            </w:r>
          </w:p>
        </w:tc>
        <w:tc>
          <w:tcPr>
            <w:tcW w:w="1350"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23/05/2021</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19:00</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7,2</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13,9</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sz w:val="20"/>
                <w:szCs w:val="20"/>
              </w:rPr>
              <w:t>23</w:t>
            </w:r>
          </w:p>
        </w:tc>
        <w:tc>
          <w:tcPr>
            <w:tcW w:w="3163"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r>
              <w:rPr>
                <w:b/>
                <w:sz w:val="22"/>
                <w:szCs w:val="22"/>
              </w:rPr>
              <w:t>El Torno</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bookmarkStart w:id="5" w:name="_m9z1731u6jo2" w:colFirst="0" w:colLast="0"/>
            <w:bookmarkEnd w:id="5"/>
            <w:r>
              <w:rPr>
                <w:b/>
                <w:sz w:val="22"/>
                <w:szCs w:val="22"/>
              </w:rPr>
              <w:t>ENTEL</w:t>
            </w:r>
          </w:p>
        </w:tc>
        <w:tc>
          <w:tcPr>
            <w:tcW w:w="1349"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rsidR="00D125BF" w:rsidRDefault="00495850" w:rsidP="004D662E">
            <w:pPr>
              <w:pStyle w:val="Ttulo1"/>
              <w:spacing w:before="0" w:after="0" w:line="240" w:lineRule="auto"/>
              <w:jc w:val="center"/>
              <w:rPr>
                <w:sz w:val="20"/>
                <w:szCs w:val="20"/>
              </w:rPr>
            </w:pPr>
            <w:bookmarkStart w:id="6" w:name="_gk0l0bg0e1vx" w:colFirst="0" w:colLast="0"/>
            <w:bookmarkEnd w:id="6"/>
            <w:r>
              <w:rPr>
                <w:b/>
                <w:sz w:val="22"/>
                <w:szCs w:val="22"/>
              </w:rPr>
              <w:t>15</w:t>
            </w:r>
          </w:p>
        </w:tc>
      </w:tr>
    </w:tbl>
    <w:p w:rsidR="00D125BF" w:rsidRDefault="00D125BF">
      <w:pPr>
        <w:pStyle w:val="Ttulo1"/>
        <w:sectPr w:rsidR="00D125BF" w:rsidSect="004D662E">
          <w:pgSz w:w="16834" w:h="11909" w:orient="landscape"/>
          <w:pgMar w:top="1440" w:right="1440" w:bottom="1440" w:left="1440" w:header="720" w:footer="720" w:gutter="0"/>
          <w:cols w:space="720"/>
          <w:docGrid w:linePitch="299"/>
        </w:sectPr>
      </w:pPr>
      <w:bookmarkStart w:id="7" w:name="_kmr2hv81w3dv" w:colFirst="0" w:colLast="0"/>
      <w:bookmarkEnd w:id="7"/>
    </w:p>
    <w:p w:rsidR="00D125BF" w:rsidRDefault="00495850">
      <w:pPr>
        <w:pStyle w:val="Ttulo1"/>
        <w:spacing w:before="0" w:after="0" w:line="360" w:lineRule="auto"/>
        <w:jc w:val="both"/>
        <w:rPr>
          <w:rFonts w:ascii="Times New Roman" w:eastAsia="Times New Roman" w:hAnsi="Times New Roman" w:cs="Times New Roman"/>
          <w:b/>
        </w:rPr>
      </w:pPr>
      <w:bookmarkStart w:id="8" w:name="_9ylz90at1v5" w:colFirst="0" w:colLast="0"/>
      <w:bookmarkEnd w:id="8"/>
      <w:r>
        <w:rPr>
          <w:rFonts w:ascii="Times New Roman" w:eastAsia="Times New Roman" w:hAnsi="Times New Roman" w:cs="Times New Roman"/>
          <w:b/>
        </w:rPr>
        <w:lastRenderedPageBreak/>
        <w:t>Mediciones.</w:t>
      </w:r>
    </w:p>
    <w:p w:rsidR="00D125BF" w:rsidRDefault="00495850">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análisis de las mediciones se toma en cuenta el promedio, la varianza, así como también los máximos y mínimos de la Subida, Bajada y Latencia, tanto por proveedor como por zonas.</w:t>
      </w:r>
    </w:p>
    <w:p w:rsidR="00D125BF" w:rsidRDefault="00495850">
      <w:pPr>
        <w:spacing w:line="360" w:lineRule="auto"/>
        <w:jc w:val="both"/>
      </w:pPr>
      <w:r>
        <w:rPr>
          <w:rFonts w:ascii="Times New Roman" w:eastAsia="Times New Roman" w:hAnsi="Times New Roman" w:cs="Times New Roman"/>
          <w:sz w:val="24"/>
          <w:szCs w:val="24"/>
        </w:rPr>
        <w:t>En la siguiente tabla se muestran los resultados obtenidos:</w:t>
      </w:r>
    </w:p>
    <w:tbl>
      <w:tblPr>
        <w:tblStyle w:val="a0"/>
        <w:tblW w:w="868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1380"/>
        <w:gridCol w:w="1080"/>
        <w:gridCol w:w="1080"/>
        <w:gridCol w:w="1080"/>
        <w:gridCol w:w="2800"/>
        <w:gridCol w:w="1260"/>
      </w:tblGrid>
      <w:tr w:rsidR="00D125BF">
        <w:trPr>
          <w:trHeight w:val="315"/>
        </w:trPr>
        <w:tc>
          <w:tcPr>
            <w:tcW w:w="138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D125BF" w:rsidRDefault="00D125BF">
            <w:pPr>
              <w:widowControl w:val="0"/>
              <w:rPr>
                <w:sz w:val="20"/>
                <w:szCs w:val="20"/>
              </w:rPr>
            </w:pPr>
          </w:p>
        </w:tc>
        <w:tc>
          <w:tcPr>
            <w:tcW w:w="1080" w:type="dxa"/>
            <w:tcBorders>
              <w:top w:val="single" w:sz="6" w:space="0" w:color="FFFFFF"/>
              <w:left w:val="single" w:sz="6" w:space="0" w:color="CCCCCC"/>
              <w:bottom w:val="single" w:sz="6" w:space="0" w:color="FFFFFF"/>
              <w:right w:val="single" w:sz="6" w:space="0" w:color="FFFFFF"/>
            </w:tcBorders>
            <w:shd w:val="clear" w:color="auto" w:fill="20124D"/>
            <w:tcMar>
              <w:top w:w="40" w:type="dxa"/>
              <w:left w:w="40" w:type="dxa"/>
              <w:bottom w:w="40" w:type="dxa"/>
              <w:right w:w="40" w:type="dxa"/>
            </w:tcMar>
            <w:vAlign w:val="center"/>
          </w:tcPr>
          <w:p w:rsidR="00D125BF" w:rsidRDefault="00495850">
            <w:pPr>
              <w:widowControl w:val="0"/>
              <w:jc w:val="center"/>
              <w:rPr>
                <w:sz w:val="20"/>
                <w:szCs w:val="20"/>
              </w:rPr>
            </w:pPr>
            <w:r>
              <w:rPr>
                <w:b/>
                <w:color w:val="FFFFFF"/>
              </w:rPr>
              <w:t>Subida</w:t>
            </w:r>
          </w:p>
        </w:tc>
        <w:tc>
          <w:tcPr>
            <w:tcW w:w="1080" w:type="dxa"/>
            <w:tcBorders>
              <w:top w:val="single" w:sz="6" w:space="0" w:color="FFFFFF"/>
              <w:left w:val="single" w:sz="6" w:space="0" w:color="CCCCCC"/>
              <w:bottom w:val="single" w:sz="6" w:space="0" w:color="FFFFFF"/>
              <w:right w:val="single" w:sz="6" w:space="0" w:color="FFFFFF"/>
            </w:tcBorders>
            <w:shd w:val="clear" w:color="auto" w:fill="20124D"/>
            <w:tcMar>
              <w:top w:w="40" w:type="dxa"/>
              <w:left w:w="40" w:type="dxa"/>
              <w:bottom w:w="40" w:type="dxa"/>
              <w:right w:w="40" w:type="dxa"/>
            </w:tcMar>
            <w:vAlign w:val="center"/>
          </w:tcPr>
          <w:p w:rsidR="00D125BF" w:rsidRDefault="00495850">
            <w:pPr>
              <w:widowControl w:val="0"/>
              <w:jc w:val="center"/>
              <w:rPr>
                <w:sz w:val="20"/>
                <w:szCs w:val="20"/>
              </w:rPr>
            </w:pPr>
            <w:r>
              <w:rPr>
                <w:b/>
                <w:color w:val="FFFFFF"/>
              </w:rPr>
              <w:t>Bajada</w:t>
            </w:r>
          </w:p>
        </w:tc>
        <w:tc>
          <w:tcPr>
            <w:tcW w:w="1080" w:type="dxa"/>
            <w:tcBorders>
              <w:top w:val="single" w:sz="6" w:space="0" w:color="FFFFFF"/>
              <w:left w:val="single" w:sz="6" w:space="0" w:color="CCCCCC"/>
              <w:bottom w:val="single" w:sz="6" w:space="0" w:color="FFFFFF"/>
              <w:right w:val="single" w:sz="6" w:space="0" w:color="FFFFFF"/>
            </w:tcBorders>
            <w:shd w:val="clear" w:color="auto" w:fill="20124D"/>
            <w:tcMar>
              <w:top w:w="40" w:type="dxa"/>
              <w:left w:w="40" w:type="dxa"/>
              <w:bottom w:w="40" w:type="dxa"/>
              <w:right w:w="40" w:type="dxa"/>
            </w:tcMar>
            <w:vAlign w:val="center"/>
          </w:tcPr>
          <w:p w:rsidR="00D125BF" w:rsidRDefault="00495850">
            <w:pPr>
              <w:widowControl w:val="0"/>
              <w:jc w:val="center"/>
              <w:rPr>
                <w:sz w:val="20"/>
                <w:szCs w:val="20"/>
              </w:rPr>
            </w:pPr>
            <w:r>
              <w:rPr>
                <w:b/>
                <w:color w:val="FFFFFF"/>
              </w:rPr>
              <w:t>Latencia</w:t>
            </w:r>
          </w:p>
        </w:tc>
        <w:tc>
          <w:tcPr>
            <w:tcW w:w="2800" w:type="dxa"/>
            <w:tcBorders>
              <w:top w:val="single" w:sz="6" w:space="0" w:color="FFFFFF"/>
              <w:left w:val="single" w:sz="6" w:space="0" w:color="CCCCCC"/>
              <w:bottom w:val="single" w:sz="6" w:space="0" w:color="FFFFFF"/>
              <w:right w:val="single" w:sz="6" w:space="0" w:color="FFFFFF"/>
            </w:tcBorders>
            <w:shd w:val="clear" w:color="auto" w:fill="20124D"/>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w:t>
            </w:r>
          </w:p>
        </w:tc>
        <w:tc>
          <w:tcPr>
            <w:tcW w:w="1260" w:type="dxa"/>
            <w:tcBorders>
              <w:top w:val="single" w:sz="6" w:space="0" w:color="FFFFFF"/>
              <w:left w:val="single" w:sz="6" w:space="0" w:color="CCCCCC"/>
              <w:bottom w:val="single" w:sz="6" w:space="0" w:color="FFFFFF"/>
              <w:right w:val="single" w:sz="6" w:space="0" w:color="FFFFFF"/>
            </w:tcBorders>
            <w:shd w:val="clear" w:color="auto" w:fill="20124D"/>
            <w:tcMar>
              <w:top w:w="40" w:type="dxa"/>
              <w:left w:w="40" w:type="dxa"/>
              <w:bottom w:w="40" w:type="dxa"/>
              <w:right w:w="40" w:type="dxa"/>
            </w:tcMar>
            <w:vAlign w:val="center"/>
          </w:tcPr>
          <w:p w:rsidR="00D125BF" w:rsidRDefault="00495850">
            <w:pPr>
              <w:widowControl w:val="0"/>
              <w:jc w:val="center"/>
              <w:rPr>
                <w:sz w:val="20"/>
                <w:szCs w:val="20"/>
              </w:rPr>
            </w:pPr>
            <w:r>
              <w:rPr>
                <w:b/>
                <w:color w:val="FFFFFF"/>
              </w:rPr>
              <w:t>Proveedor</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Promedio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5,27</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28,05</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41</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4º Anillo, Radial 26</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Varianza</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1,22</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6,39</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362,47</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4º Anillo, Radial 26</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Máximo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7,44</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31</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89</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4º Anillo, Radial 26</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Mínimo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2,66</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20,3</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19</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4º Anillo, Radial 26</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Promedio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4,60</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15,25</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14,05</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Virgen de Luján</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Varianza</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0,56</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0,11</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34,50</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Virgen de Luján</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Máximo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5,21</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16</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24</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Virgen de Luján</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78909C"/>
            <w:tcMar>
              <w:top w:w="40" w:type="dxa"/>
              <w:left w:w="40" w:type="dxa"/>
              <w:bottom w:w="40" w:type="dxa"/>
              <w:right w:w="40" w:type="dxa"/>
            </w:tcMar>
            <w:vAlign w:val="bottom"/>
          </w:tcPr>
          <w:p w:rsidR="00D125BF" w:rsidRDefault="00495850">
            <w:pPr>
              <w:widowControl w:val="0"/>
              <w:jc w:val="center"/>
              <w:rPr>
                <w:sz w:val="20"/>
                <w:szCs w:val="20"/>
              </w:rPr>
            </w:pPr>
            <w:r>
              <w:rPr>
                <w:b/>
                <w:color w:val="FFFFFF"/>
              </w:rPr>
              <w:t>Mínimo</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2,1</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14,6</w:t>
            </w:r>
          </w:p>
        </w:tc>
        <w:tc>
          <w:tcPr>
            <w:tcW w:w="108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4</w:t>
            </w:r>
          </w:p>
        </w:tc>
        <w:tc>
          <w:tcPr>
            <w:tcW w:w="280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Virgen de Luján</w:t>
            </w:r>
          </w:p>
        </w:tc>
        <w:tc>
          <w:tcPr>
            <w:tcW w:w="1260" w:type="dxa"/>
            <w:tcBorders>
              <w:top w:val="single" w:sz="6" w:space="0" w:color="CCCCCC"/>
              <w:left w:val="single" w:sz="6" w:space="0" w:color="CCCCCC"/>
              <w:bottom w:val="single" w:sz="6" w:space="0" w:color="FFFFFF"/>
              <w:right w:val="single" w:sz="6" w:space="0" w:color="FFFFFF"/>
            </w:tcBorders>
            <w:shd w:val="clear" w:color="auto" w:fill="78909C"/>
            <w:tcMar>
              <w:top w:w="40" w:type="dxa"/>
              <w:left w:w="40" w:type="dxa"/>
              <w:bottom w:w="40" w:type="dxa"/>
              <w:right w:w="40" w:type="dxa"/>
            </w:tcMar>
            <w:vAlign w:val="center"/>
          </w:tcPr>
          <w:p w:rsidR="00D125BF" w:rsidRDefault="00495850">
            <w:pPr>
              <w:widowControl w:val="0"/>
              <w:jc w:val="center"/>
              <w:rPr>
                <w:sz w:val="20"/>
                <w:szCs w:val="20"/>
              </w:rPr>
            </w:pPr>
            <w:r>
              <w:rPr>
                <w:b/>
                <w:color w:val="FFFFFF"/>
              </w:rPr>
              <w:t>Tigo</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6AA84F"/>
            <w:tcMar>
              <w:top w:w="40" w:type="dxa"/>
              <w:left w:w="40" w:type="dxa"/>
              <w:bottom w:w="40" w:type="dxa"/>
              <w:right w:w="40" w:type="dxa"/>
            </w:tcMar>
            <w:vAlign w:val="bottom"/>
          </w:tcPr>
          <w:p w:rsidR="00D125BF" w:rsidRDefault="00495850">
            <w:pPr>
              <w:widowControl w:val="0"/>
              <w:jc w:val="center"/>
              <w:rPr>
                <w:sz w:val="20"/>
                <w:szCs w:val="20"/>
              </w:rPr>
            </w:pPr>
            <w:r>
              <w:rPr>
                <w:b/>
                <w:color w:val="FFFFFF"/>
              </w:rPr>
              <w:t>Promedio</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2,03</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15,31</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16</w:t>
            </w:r>
          </w:p>
        </w:tc>
        <w:tc>
          <w:tcPr>
            <w:tcW w:w="280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Sur, Km 6</w:t>
            </w:r>
          </w:p>
        </w:tc>
        <w:tc>
          <w:tcPr>
            <w:tcW w:w="126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Cotas</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6AA84F"/>
            <w:tcMar>
              <w:top w:w="40" w:type="dxa"/>
              <w:left w:w="40" w:type="dxa"/>
              <w:bottom w:w="40" w:type="dxa"/>
              <w:right w:w="40" w:type="dxa"/>
            </w:tcMar>
            <w:vAlign w:val="bottom"/>
          </w:tcPr>
          <w:p w:rsidR="00D125BF" w:rsidRDefault="00495850">
            <w:pPr>
              <w:widowControl w:val="0"/>
              <w:jc w:val="center"/>
              <w:rPr>
                <w:sz w:val="20"/>
                <w:szCs w:val="20"/>
              </w:rPr>
            </w:pPr>
            <w:r>
              <w:rPr>
                <w:b/>
                <w:color w:val="FFFFFF"/>
              </w:rPr>
              <w:t>Varianza</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0,01</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0,43</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2,25</w:t>
            </w:r>
          </w:p>
        </w:tc>
        <w:tc>
          <w:tcPr>
            <w:tcW w:w="280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Sur, Km 6</w:t>
            </w:r>
          </w:p>
        </w:tc>
        <w:tc>
          <w:tcPr>
            <w:tcW w:w="126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Cotas</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6AA84F"/>
            <w:tcMar>
              <w:top w:w="40" w:type="dxa"/>
              <w:left w:w="40" w:type="dxa"/>
              <w:bottom w:w="40" w:type="dxa"/>
              <w:right w:w="40" w:type="dxa"/>
            </w:tcMar>
            <w:vAlign w:val="bottom"/>
          </w:tcPr>
          <w:p w:rsidR="00D125BF" w:rsidRDefault="00495850">
            <w:pPr>
              <w:widowControl w:val="0"/>
              <w:jc w:val="center"/>
              <w:rPr>
                <w:sz w:val="20"/>
                <w:szCs w:val="20"/>
              </w:rPr>
            </w:pPr>
            <w:r>
              <w:rPr>
                <w:b/>
                <w:color w:val="FFFFFF"/>
              </w:rPr>
              <w:t>Máximo</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2,18</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16,4</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19</w:t>
            </w:r>
          </w:p>
        </w:tc>
        <w:tc>
          <w:tcPr>
            <w:tcW w:w="280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Sur, Km 6</w:t>
            </w:r>
          </w:p>
        </w:tc>
        <w:tc>
          <w:tcPr>
            <w:tcW w:w="126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Cotas</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6AA84F"/>
            <w:tcMar>
              <w:top w:w="40" w:type="dxa"/>
              <w:left w:w="40" w:type="dxa"/>
              <w:bottom w:w="40" w:type="dxa"/>
              <w:right w:w="40" w:type="dxa"/>
            </w:tcMar>
            <w:vAlign w:val="bottom"/>
          </w:tcPr>
          <w:p w:rsidR="00D125BF" w:rsidRDefault="00495850">
            <w:pPr>
              <w:widowControl w:val="0"/>
              <w:jc w:val="center"/>
              <w:rPr>
                <w:sz w:val="20"/>
                <w:szCs w:val="20"/>
              </w:rPr>
            </w:pPr>
            <w:r>
              <w:rPr>
                <w:b/>
                <w:color w:val="FFFFFF"/>
              </w:rPr>
              <w:t>Mínimo</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1,71</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13,3</w:t>
            </w:r>
          </w:p>
        </w:tc>
        <w:tc>
          <w:tcPr>
            <w:tcW w:w="108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14</w:t>
            </w:r>
          </w:p>
        </w:tc>
        <w:tc>
          <w:tcPr>
            <w:tcW w:w="280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Zona Sur, Km 6</w:t>
            </w:r>
          </w:p>
        </w:tc>
        <w:tc>
          <w:tcPr>
            <w:tcW w:w="1260" w:type="dxa"/>
            <w:tcBorders>
              <w:top w:val="single" w:sz="6" w:space="0" w:color="CCCCCC"/>
              <w:left w:val="single" w:sz="6" w:space="0" w:color="CCCCCC"/>
              <w:bottom w:val="single" w:sz="6" w:space="0" w:color="FFFFFF"/>
              <w:right w:val="single" w:sz="6" w:space="0" w:color="FFFFFF"/>
            </w:tcBorders>
            <w:shd w:val="clear" w:color="auto" w:fill="6AA84F"/>
            <w:tcMar>
              <w:top w:w="40" w:type="dxa"/>
              <w:left w:w="40" w:type="dxa"/>
              <w:bottom w:w="40" w:type="dxa"/>
              <w:right w:w="40" w:type="dxa"/>
            </w:tcMar>
            <w:vAlign w:val="center"/>
          </w:tcPr>
          <w:p w:rsidR="00D125BF" w:rsidRDefault="00495850">
            <w:pPr>
              <w:widowControl w:val="0"/>
              <w:jc w:val="center"/>
              <w:rPr>
                <w:sz w:val="20"/>
                <w:szCs w:val="20"/>
              </w:rPr>
            </w:pPr>
            <w:r>
              <w:rPr>
                <w:b/>
                <w:color w:val="FFFFFF"/>
              </w:rPr>
              <w:t>Cotas</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C27BA0"/>
            <w:tcMar>
              <w:top w:w="40" w:type="dxa"/>
              <w:left w:w="40" w:type="dxa"/>
              <w:bottom w:w="40" w:type="dxa"/>
              <w:right w:w="40" w:type="dxa"/>
            </w:tcMar>
            <w:vAlign w:val="bottom"/>
          </w:tcPr>
          <w:p w:rsidR="00D125BF" w:rsidRDefault="00495850">
            <w:pPr>
              <w:widowControl w:val="0"/>
              <w:jc w:val="center"/>
              <w:rPr>
                <w:sz w:val="20"/>
                <w:szCs w:val="20"/>
              </w:rPr>
            </w:pPr>
            <w:r>
              <w:rPr>
                <w:b/>
                <w:color w:val="FFFFFF"/>
              </w:rPr>
              <w:t>Promedio</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9,28</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31,38</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47,39</w:t>
            </w:r>
          </w:p>
        </w:tc>
        <w:tc>
          <w:tcPr>
            <w:tcW w:w="280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Pr="004D662E" w:rsidRDefault="00495850">
            <w:pPr>
              <w:widowControl w:val="0"/>
              <w:jc w:val="center"/>
              <w:rPr>
                <w:sz w:val="20"/>
                <w:szCs w:val="20"/>
                <w:lang w:val="en-US"/>
              </w:rPr>
            </w:pPr>
            <w:r w:rsidRPr="004D662E">
              <w:rPr>
                <w:b/>
                <w:color w:val="FFFFFF"/>
                <w:lang w:val="en-US"/>
              </w:rPr>
              <w:t>Sur Plan 3000 Urb Guapuru I</w:t>
            </w:r>
          </w:p>
        </w:tc>
        <w:tc>
          <w:tcPr>
            <w:tcW w:w="126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b/>
                <w:color w:val="FFFFFF"/>
              </w:rPr>
              <w:t>Digital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C27BA0"/>
            <w:tcMar>
              <w:top w:w="40" w:type="dxa"/>
              <w:left w:w="40" w:type="dxa"/>
              <w:bottom w:w="40" w:type="dxa"/>
              <w:right w:w="40" w:type="dxa"/>
            </w:tcMar>
            <w:vAlign w:val="bottom"/>
          </w:tcPr>
          <w:p w:rsidR="00D125BF" w:rsidRDefault="00495850">
            <w:pPr>
              <w:widowControl w:val="0"/>
              <w:jc w:val="center"/>
              <w:rPr>
                <w:sz w:val="20"/>
                <w:szCs w:val="20"/>
              </w:rPr>
            </w:pPr>
            <w:r>
              <w:rPr>
                <w:b/>
                <w:color w:val="FFFFFF"/>
              </w:rPr>
              <w:t>Varianza</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2,78</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51,01</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1063,47</w:t>
            </w:r>
          </w:p>
        </w:tc>
        <w:tc>
          <w:tcPr>
            <w:tcW w:w="280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Pr="004D662E" w:rsidRDefault="00495850">
            <w:pPr>
              <w:widowControl w:val="0"/>
              <w:jc w:val="center"/>
              <w:rPr>
                <w:sz w:val="20"/>
                <w:szCs w:val="20"/>
                <w:lang w:val="en-US"/>
              </w:rPr>
            </w:pPr>
            <w:r w:rsidRPr="004D662E">
              <w:rPr>
                <w:b/>
                <w:color w:val="FFFFFF"/>
                <w:lang w:val="en-US"/>
              </w:rPr>
              <w:t>Sur Plan 3000 Urb Guapuru I</w:t>
            </w:r>
          </w:p>
        </w:tc>
        <w:tc>
          <w:tcPr>
            <w:tcW w:w="126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b/>
                <w:color w:val="FFFFFF"/>
              </w:rPr>
              <w:t>Digital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C27BA0"/>
            <w:tcMar>
              <w:top w:w="40" w:type="dxa"/>
              <w:left w:w="40" w:type="dxa"/>
              <w:bottom w:w="40" w:type="dxa"/>
              <w:right w:w="40" w:type="dxa"/>
            </w:tcMar>
            <w:vAlign w:val="bottom"/>
          </w:tcPr>
          <w:p w:rsidR="00D125BF" w:rsidRDefault="00495850">
            <w:pPr>
              <w:widowControl w:val="0"/>
              <w:jc w:val="center"/>
              <w:rPr>
                <w:sz w:val="20"/>
                <w:szCs w:val="20"/>
              </w:rPr>
            </w:pPr>
            <w:r>
              <w:rPr>
                <w:b/>
                <w:color w:val="FFFFFF"/>
              </w:rPr>
              <w:t>Máximo</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11,8</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38,82</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154</w:t>
            </w:r>
          </w:p>
        </w:tc>
        <w:tc>
          <w:tcPr>
            <w:tcW w:w="280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Pr="004D662E" w:rsidRDefault="00495850">
            <w:pPr>
              <w:widowControl w:val="0"/>
              <w:jc w:val="center"/>
              <w:rPr>
                <w:sz w:val="20"/>
                <w:szCs w:val="20"/>
                <w:lang w:val="en-US"/>
              </w:rPr>
            </w:pPr>
            <w:r w:rsidRPr="004D662E">
              <w:rPr>
                <w:b/>
                <w:color w:val="FFFFFF"/>
                <w:lang w:val="en-US"/>
              </w:rPr>
              <w:t>Sur Plan 3000 Urb Guapuru I</w:t>
            </w:r>
          </w:p>
        </w:tc>
        <w:tc>
          <w:tcPr>
            <w:tcW w:w="126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b/>
                <w:color w:val="FFFFFF"/>
              </w:rPr>
              <w:t>Digital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C27BA0"/>
            <w:tcMar>
              <w:top w:w="40" w:type="dxa"/>
              <w:left w:w="40" w:type="dxa"/>
              <w:bottom w:w="40" w:type="dxa"/>
              <w:right w:w="40" w:type="dxa"/>
            </w:tcMar>
            <w:vAlign w:val="bottom"/>
          </w:tcPr>
          <w:p w:rsidR="00D125BF" w:rsidRDefault="00495850">
            <w:pPr>
              <w:widowControl w:val="0"/>
              <w:jc w:val="center"/>
              <w:rPr>
                <w:sz w:val="20"/>
                <w:szCs w:val="20"/>
              </w:rPr>
            </w:pPr>
            <w:r>
              <w:rPr>
                <w:b/>
                <w:color w:val="FFFFFF"/>
              </w:rPr>
              <w:t>Mínimo</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6,4</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15,4</w:t>
            </w:r>
          </w:p>
        </w:tc>
        <w:tc>
          <w:tcPr>
            <w:tcW w:w="108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color w:val="FFFFFF"/>
                <w:sz w:val="20"/>
                <w:szCs w:val="20"/>
              </w:rPr>
              <w:t>30,4</w:t>
            </w:r>
          </w:p>
        </w:tc>
        <w:tc>
          <w:tcPr>
            <w:tcW w:w="280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Pr="004D662E" w:rsidRDefault="00495850">
            <w:pPr>
              <w:widowControl w:val="0"/>
              <w:jc w:val="center"/>
              <w:rPr>
                <w:sz w:val="20"/>
                <w:szCs w:val="20"/>
                <w:lang w:val="en-US"/>
              </w:rPr>
            </w:pPr>
            <w:r w:rsidRPr="004D662E">
              <w:rPr>
                <w:b/>
                <w:color w:val="FFFFFF"/>
                <w:lang w:val="en-US"/>
              </w:rPr>
              <w:t>Sur Plan 3000 Urb Guapuru I</w:t>
            </w:r>
          </w:p>
        </w:tc>
        <w:tc>
          <w:tcPr>
            <w:tcW w:w="1260" w:type="dxa"/>
            <w:tcBorders>
              <w:top w:val="single" w:sz="6" w:space="0" w:color="CCCCCC"/>
              <w:left w:val="single" w:sz="6" w:space="0" w:color="CCCCCC"/>
              <w:bottom w:val="single" w:sz="6" w:space="0" w:color="FFFFFF"/>
              <w:right w:val="single" w:sz="6" w:space="0" w:color="FFFFFF"/>
            </w:tcBorders>
            <w:shd w:val="clear" w:color="auto" w:fill="C27BA0"/>
            <w:tcMar>
              <w:top w:w="40" w:type="dxa"/>
              <w:left w:w="40" w:type="dxa"/>
              <w:bottom w:w="40" w:type="dxa"/>
              <w:right w:w="40" w:type="dxa"/>
            </w:tcMar>
            <w:vAlign w:val="center"/>
          </w:tcPr>
          <w:p w:rsidR="00D125BF" w:rsidRDefault="00495850">
            <w:pPr>
              <w:widowControl w:val="0"/>
              <w:jc w:val="center"/>
              <w:rPr>
                <w:sz w:val="20"/>
                <w:szCs w:val="20"/>
              </w:rPr>
            </w:pPr>
            <w:r>
              <w:rPr>
                <w:b/>
                <w:color w:val="FFFFFF"/>
              </w:rPr>
              <w:t>Digital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b/>
                <w:color w:val="FFFFFF"/>
              </w:rPr>
              <w:t>Promedio</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7,13</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14,01</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19,69</w:t>
            </w:r>
          </w:p>
        </w:tc>
        <w:tc>
          <w:tcPr>
            <w:tcW w:w="280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El Torno</w:t>
            </w:r>
          </w:p>
        </w:tc>
        <w:tc>
          <w:tcPr>
            <w:tcW w:w="126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ENTEL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b/>
                <w:color w:val="FFFFFF"/>
              </w:rPr>
              <w:t>Varianza</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0,01</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2,02</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3,83</w:t>
            </w:r>
          </w:p>
        </w:tc>
        <w:tc>
          <w:tcPr>
            <w:tcW w:w="280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El Torno</w:t>
            </w:r>
          </w:p>
        </w:tc>
        <w:tc>
          <w:tcPr>
            <w:tcW w:w="126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ENTEL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b/>
                <w:color w:val="FFFFFF"/>
              </w:rPr>
              <w:t>Máximo</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7,25</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14,89</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23,00</w:t>
            </w:r>
          </w:p>
        </w:tc>
        <w:tc>
          <w:tcPr>
            <w:tcW w:w="280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El Torno</w:t>
            </w:r>
          </w:p>
        </w:tc>
        <w:tc>
          <w:tcPr>
            <w:tcW w:w="126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ENTEL</w:t>
            </w:r>
          </w:p>
        </w:tc>
      </w:tr>
      <w:tr w:rsidR="00D125BF">
        <w:trPr>
          <w:trHeight w:val="315"/>
        </w:trPr>
        <w:tc>
          <w:tcPr>
            <w:tcW w:w="1380" w:type="dxa"/>
            <w:tcBorders>
              <w:top w:val="single" w:sz="6" w:space="0" w:color="CCCCCC"/>
              <w:left w:val="single" w:sz="6" w:space="0" w:color="FFFFFF"/>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b/>
                <w:color w:val="FFFFFF"/>
              </w:rPr>
              <w:t>Mínimo</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7,01</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9,08</w:t>
            </w:r>
          </w:p>
        </w:tc>
        <w:tc>
          <w:tcPr>
            <w:tcW w:w="108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bottom"/>
          </w:tcPr>
          <w:p w:rsidR="00D125BF" w:rsidRDefault="00495850">
            <w:pPr>
              <w:widowControl w:val="0"/>
              <w:jc w:val="center"/>
              <w:rPr>
                <w:sz w:val="20"/>
                <w:szCs w:val="20"/>
              </w:rPr>
            </w:pPr>
            <w:r>
              <w:rPr>
                <w:color w:val="FFFFFF"/>
                <w:sz w:val="20"/>
                <w:szCs w:val="20"/>
              </w:rPr>
              <w:t>16,00</w:t>
            </w:r>
          </w:p>
        </w:tc>
        <w:tc>
          <w:tcPr>
            <w:tcW w:w="280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El Torno</w:t>
            </w:r>
          </w:p>
        </w:tc>
        <w:tc>
          <w:tcPr>
            <w:tcW w:w="1260" w:type="dxa"/>
            <w:tcBorders>
              <w:top w:val="single" w:sz="6" w:space="0" w:color="CCCCCC"/>
              <w:left w:val="single" w:sz="6" w:space="0" w:color="CCCCCC"/>
              <w:bottom w:val="single" w:sz="6" w:space="0" w:color="FFFFFF"/>
              <w:right w:val="single" w:sz="6" w:space="0" w:color="FFFFFF"/>
            </w:tcBorders>
            <w:shd w:val="clear" w:color="auto" w:fill="46BDC6"/>
            <w:tcMar>
              <w:top w:w="40" w:type="dxa"/>
              <w:left w:w="40" w:type="dxa"/>
              <w:bottom w:w="40" w:type="dxa"/>
              <w:right w:w="40" w:type="dxa"/>
            </w:tcMar>
            <w:vAlign w:val="center"/>
          </w:tcPr>
          <w:p w:rsidR="00D125BF" w:rsidRDefault="00495850">
            <w:pPr>
              <w:widowControl w:val="0"/>
              <w:jc w:val="center"/>
              <w:rPr>
                <w:sz w:val="20"/>
                <w:szCs w:val="20"/>
              </w:rPr>
            </w:pPr>
            <w:r>
              <w:rPr>
                <w:b/>
                <w:color w:val="FFFFFF"/>
              </w:rPr>
              <w:t>ENTEL</w:t>
            </w:r>
          </w:p>
        </w:tc>
      </w:tr>
    </w:tbl>
    <w:p w:rsidR="00D125BF" w:rsidRDefault="00495850">
      <w:r>
        <w:t xml:space="preserve"> </w:t>
      </w:r>
    </w:p>
    <w:p w:rsidR="00D125BF" w:rsidRDefault="00D125BF">
      <w:pPr>
        <w:spacing w:before="200" w:line="360" w:lineRule="auto"/>
        <w:jc w:val="both"/>
        <w:rPr>
          <w:rFonts w:ascii="Times New Roman" w:eastAsia="Times New Roman" w:hAnsi="Times New Roman" w:cs="Times New Roman"/>
          <w:sz w:val="24"/>
          <w:szCs w:val="24"/>
        </w:rPr>
      </w:pPr>
    </w:p>
    <w:p w:rsidR="00D125BF" w:rsidRDefault="00D125BF">
      <w:pPr>
        <w:spacing w:before="200" w:line="360" w:lineRule="auto"/>
        <w:jc w:val="both"/>
        <w:rPr>
          <w:rFonts w:ascii="Times New Roman" w:eastAsia="Times New Roman" w:hAnsi="Times New Roman" w:cs="Times New Roman"/>
          <w:sz w:val="24"/>
          <w:szCs w:val="24"/>
        </w:rPr>
      </w:pPr>
    </w:p>
    <w:p w:rsidR="00D125BF" w:rsidRDefault="00495850">
      <w:pPr>
        <w:pStyle w:val="Ttulo2"/>
        <w:spacing w:before="0" w:after="0" w:line="480" w:lineRule="auto"/>
        <w:jc w:val="both"/>
        <w:rPr>
          <w:rFonts w:ascii="Times New Roman" w:eastAsia="Times New Roman" w:hAnsi="Times New Roman" w:cs="Times New Roman"/>
          <w:b/>
          <w:sz w:val="30"/>
          <w:szCs w:val="30"/>
        </w:rPr>
      </w:pPr>
      <w:bookmarkStart w:id="9" w:name="_qg1g6jd38l7e" w:colFirst="0" w:colLast="0"/>
      <w:bookmarkEnd w:id="9"/>
      <w:r>
        <w:rPr>
          <w:rFonts w:ascii="Times New Roman" w:eastAsia="Times New Roman" w:hAnsi="Times New Roman" w:cs="Times New Roman"/>
          <w:b/>
          <w:sz w:val="30"/>
          <w:szCs w:val="30"/>
        </w:rPr>
        <w:lastRenderedPageBreak/>
        <w:t>Varianza</w:t>
      </w:r>
    </w:p>
    <w:p w:rsidR="00D125BF" w:rsidRDefault="0049585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variabilidad entre los datos de Subida y Bajada de los distintos proveedores se muestra en el siguiente gráfico, donde se observa que la variabilidad es de 1,22 de Subida y 6,39 de Bajada, en la zona del 4º Anillo, Radial 26 con el proveedor Tigo. Para la zona de la Virgen de Luján con el mismo proveedor, la variabilidad es de 0,11 de Subida y 0,56 de Bajada. Con el servicio de Wi-fi de Cotas se observa que cuenta con una varianza relativamente pequeña, al igual que Entel. Sin embargo, existe una gran variabilidad de Bajada para el proveedor de Digital (51,01).</w:t>
      </w:r>
    </w:p>
    <w:p w:rsidR="00D125BF" w:rsidRDefault="00495850">
      <w:pPr>
        <w:jc w:val="center"/>
      </w:pPr>
      <w:r>
        <w:rPr>
          <w:noProof/>
          <w:lang w:val="en-US" w:eastAsia="en-US"/>
        </w:rPr>
        <w:drawing>
          <wp:inline distT="114300" distB="114300" distL="114300" distR="114300">
            <wp:extent cx="3578239" cy="21384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78239" cy="2138474"/>
                    </a:xfrm>
                    <a:prstGeom prst="rect">
                      <a:avLst/>
                    </a:prstGeom>
                    <a:ln/>
                  </pic:spPr>
                </pic:pic>
              </a:graphicData>
            </a:graphic>
          </wp:inline>
        </w:drawing>
      </w:r>
    </w:p>
    <w:p w:rsidR="00D125BF" w:rsidRDefault="00495850">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mismo se puede observar al calcular la varianza de la Latencia, siendo Cotas y Entel los que cuentan con menor variabilidad, de 2,25 y 3,83 respectivamente.</w:t>
      </w:r>
    </w:p>
    <w:p w:rsidR="00D125BF" w:rsidRDefault="00495850">
      <w:pPr>
        <w:jc w:val="center"/>
      </w:pPr>
      <w:r>
        <w:rPr>
          <w:noProof/>
          <w:lang w:val="en-US" w:eastAsia="en-US"/>
        </w:rPr>
        <w:drawing>
          <wp:inline distT="114300" distB="114300" distL="114300" distR="114300">
            <wp:extent cx="3356831" cy="21749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56831" cy="2174988"/>
                    </a:xfrm>
                    <a:prstGeom prst="rect">
                      <a:avLst/>
                    </a:prstGeom>
                    <a:ln/>
                  </pic:spPr>
                </pic:pic>
              </a:graphicData>
            </a:graphic>
          </wp:inline>
        </w:drawing>
      </w:r>
    </w:p>
    <w:p w:rsidR="00D125BF" w:rsidRDefault="00D125BF">
      <w:pPr>
        <w:spacing w:before="200" w:line="480" w:lineRule="auto"/>
        <w:jc w:val="both"/>
        <w:rPr>
          <w:rFonts w:ascii="Times New Roman" w:eastAsia="Times New Roman" w:hAnsi="Times New Roman" w:cs="Times New Roman"/>
          <w:sz w:val="24"/>
          <w:szCs w:val="24"/>
        </w:rPr>
      </w:pPr>
    </w:p>
    <w:p w:rsidR="00D125BF" w:rsidRDefault="00495850">
      <w:pPr>
        <w:pStyle w:val="Ttulo2"/>
        <w:spacing w:before="0" w:after="0" w:line="480" w:lineRule="auto"/>
        <w:jc w:val="both"/>
        <w:rPr>
          <w:rFonts w:ascii="Times New Roman" w:eastAsia="Times New Roman" w:hAnsi="Times New Roman" w:cs="Times New Roman"/>
          <w:b/>
          <w:sz w:val="30"/>
          <w:szCs w:val="30"/>
        </w:rPr>
      </w:pPr>
      <w:bookmarkStart w:id="10" w:name="_1vwvn3xtz4w2" w:colFirst="0" w:colLast="0"/>
      <w:bookmarkEnd w:id="10"/>
      <w:r>
        <w:rPr>
          <w:rFonts w:ascii="Times New Roman" w:eastAsia="Times New Roman" w:hAnsi="Times New Roman" w:cs="Times New Roman"/>
          <w:b/>
          <w:sz w:val="30"/>
          <w:szCs w:val="30"/>
        </w:rPr>
        <w:lastRenderedPageBreak/>
        <w:t>Máximos y Mínimos</w:t>
      </w:r>
    </w:p>
    <w:p w:rsidR="00D125BF" w:rsidRDefault="0049585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gráfico se muestra una comparación entre el plan contratado de los diferentes proveedores y la máxima velocidad de Bajada obtenida de las mediciones realizadas.</w:t>
      </w:r>
    </w:p>
    <w:p w:rsidR="00D125BF" w:rsidRDefault="00495850">
      <w:pPr>
        <w:jc w:val="center"/>
      </w:pPr>
      <w:r>
        <w:rPr>
          <w:noProof/>
          <w:lang w:val="en-US" w:eastAsia="en-US"/>
        </w:rPr>
        <w:drawing>
          <wp:inline distT="114300" distB="114300" distL="114300" distR="114300">
            <wp:extent cx="3672428" cy="224960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2428" cy="2249602"/>
                    </a:xfrm>
                    <a:prstGeom prst="rect">
                      <a:avLst/>
                    </a:prstGeom>
                    <a:ln/>
                  </pic:spPr>
                </pic:pic>
              </a:graphicData>
            </a:graphic>
          </wp:inline>
        </w:drawing>
      </w:r>
    </w:p>
    <w:p w:rsidR="00D125BF" w:rsidRDefault="00495850">
      <w:pPr>
        <w:spacing w:before="200" w:line="480" w:lineRule="auto"/>
        <w:jc w:val="both"/>
      </w:pPr>
      <w:r>
        <w:rPr>
          <w:rFonts w:ascii="Times New Roman" w:eastAsia="Times New Roman" w:hAnsi="Times New Roman" w:cs="Times New Roman"/>
          <w:sz w:val="24"/>
          <w:szCs w:val="24"/>
        </w:rPr>
        <w:t>En el gráfico anterior se observa que en un momento dado, Cotas sobrepasó la velocidad del Plan Contratado, por lo que se ve en la necesidad de realizar una comparación con el Mínimo de Bajada, esto nos muestra que Cotas sigue liderando debido a que la mínima velocidad es de 13,3 Mbps con un plan de 11 Mbps.</w:t>
      </w:r>
    </w:p>
    <w:p w:rsidR="00D125BF" w:rsidRDefault="00495850">
      <w:pPr>
        <w:jc w:val="center"/>
      </w:pPr>
      <w:r>
        <w:rPr>
          <w:noProof/>
          <w:lang w:val="en-US" w:eastAsia="en-US"/>
        </w:rPr>
        <w:drawing>
          <wp:inline distT="114300" distB="114300" distL="114300" distR="114300">
            <wp:extent cx="3762375" cy="2305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62375" cy="2305050"/>
                    </a:xfrm>
                    <a:prstGeom prst="rect">
                      <a:avLst/>
                    </a:prstGeom>
                    <a:ln/>
                  </pic:spPr>
                </pic:pic>
              </a:graphicData>
            </a:graphic>
          </wp:inline>
        </w:drawing>
      </w:r>
    </w:p>
    <w:p w:rsidR="00D125BF" w:rsidRPr="004D662E" w:rsidRDefault="00495850">
      <w:pPr>
        <w:spacing w:before="200" w:line="480" w:lineRule="auto"/>
        <w:rPr>
          <w:rFonts w:ascii="Times New Roman" w:hAnsi="Times New Roman" w:cs="Times New Roman"/>
          <w:b/>
          <w:sz w:val="30"/>
          <w:szCs w:val="30"/>
        </w:rPr>
      </w:pPr>
      <w:r w:rsidRPr="004D662E">
        <w:rPr>
          <w:rFonts w:ascii="Times New Roman" w:hAnsi="Times New Roman" w:cs="Times New Roman"/>
          <w:b/>
          <w:sz w:val="30"/>
          <w:szCs w:val="30"/>
        </w:rPr>
        <w:t>Promedio</w:t>
      </w:r>
    </w:p>
    <w:p w:rsidR="00D125BF" w:rsidRPr="004D662E" w:rsidRDefault="00495850">
      <w:pPr>
        <w:spacing w:line="480" w:lineRule="auto"/>
        <w:rPr>
          <w:rFonts w:ascii="Times New Roman" w:hAnsi="Times New Roman" w:cs="Times New Roman"/>
          <w:sz w:val="24"/>
        </w:rPr>
      </w:pPr>
      <w:r w:rsidRPr="004D662E">
        <w:rPr>
          <w:rFonts w:ascii="Times New Roman" w:hAnsi="Times New Roman" w:cs="Times New Roman"/>
          <w:sz w:val="24"/>
        </w:rPr>
        <w:t>A partir del promedio se puede observar, una vez más que Cotas tiene el promedio más alto con 15,30 Mbps, seguido de Tigo en la zona Virgen de Luján con 15,24 Mbps y finalmente Entel con un promedio de 14,00 Mbps.</w:t>
      </w:r>
    </w:p>
    <w:p w:rsidR="00D125BF" w:rsidRDefault="00495850">
      <w:pPr>
        <w:spacing w:line="480" w:lineRule="auto"/>
      </w:pPr>
      <w:r>
        <w:rPr>
          <w:noProof/>
          <w:lang w:val="en-US" w:eastAsia="en-US"/>
        </w:rPr>
        <w:lastRenderedPageBreak/>
        <w:drawing>
          <wp:inline distT="114300" distB="114300" distL="114300" distR="114300">
            <wp:extent cx="5731200" cy="3543300"/>
            <wp:effectExtent l="0" t="0" r="0" b="0"/>
            <wp:docPr id="7" name="image7.png" descr="Gráfico"/>
            <wp:cNvGraphicFramePr/>
            <a:graphic xmlns:a="http://schemas.openxmlformats.org/drawingml/2006/main">
              <a:graphicData uri="http://schemas.openxmlformats.org/drawingml/2006/picture">
                <pic:pic xmlns:pic="http://schemas.openxmlformats.org/drawingml/2006/picture">
                  <pic:nvPicPr>
                    <pic:cNvPr id="0" name="image7.png" descr="Gráfico"/>
                    <pic:cNvPicPr preferRelativeResize="0"/>
                  </pic:nvPicPr>
                  <pic:blipFill>
                    <a:blip r:embed="rId13"/>
                    <a:srcRect/>
                    <a:stretch>
                      <a:fillRect/>
                    </a:stretch>
                  </pic:blipFill>
                  <pic:spPr>
                    <a:xfrm>
                      <a:off x="0" y="0"/>
                      <a:ext cx="5731200" cy="3543300"/>
                    </a:xfrm>
                    <a:prstGeom prst="rect">
                      <a:avLst/>
                    </a:prstGeom>
                    <a:ln/>
                  </pic:spPr>
                </pic:pic>
              </a:graphicData>
            </a:graphic>
          </wp:inline>
        </w:drawing>
      </w:r>
    </w:p>
    <w:p w:rsidR="00D125BF" w:rsidRDefault="00495850">
      <w:r>
        <w:rPr>
          <w:noProof/>
          <w:lang w:val="en-US" w:eastAsia="en-US"/>
        </w:rPr>
        <w:drawing>
          <wp:inline distT="114300" distB="114300" distL="114300" distR="114300">
            <wp:extent cx="3796983" cy="22762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796983" cy="2276202"/>
                    </a:xfrm>
                    <a:prstGeom prst="rect">
                      <a:avLst/>
                    </a:prstGeom>
                    <a:ln/>
                  </pic:spPr>
                </pic:pic>
              </a:graphicData>
            </a:graphic>
          </wp:inline>
        </w:drawing>
      </w:r>
    </w:p>
    <w:p w:rsidR="00D125BF" w:rsidRDefault="00D125BF">
      <w:pPr>
        <w:pStyle w:val="Ttulo1"/>
        <w:spacing w:line="360" w:lineRule="auto"/>
        <w:rPr>
          <w:rFonts w:ascii="Times New Roman" w:eastAsia="Times New Roman" w:hAnsi="Times New Roman" w:cs="Times New Roman"/>
          <w:b/>
        </w:rPr>
        <w:sectPr w:rsidR="00D125BF">
          <w:pgSz w:w="11909" w:h="16834"/>
          <w:pgMar w:top="1440" w:right="1440" w:bottom="1440" w:left="1440" w:header="720" w:footer="720" w:gutter="0"/>
          <w:cols w:space="720"/>
        </w:sectPr>
      </w:pPr>
      <w:bookmarkStart w:id="11" w:name="_3nzgsgiodcq1" w:colFirst="0" w:colLast="0"/>
      <w:bookmarkEnd w:id="11"/>
    </w:p>
    <w:p w:rsidR="00D125BF" w:rsidRDefault="00495850">
      <w:pPr>
        <w:pStyle w:val="Ttulo1"/>
        <w:spacing w:line="360" w:lineRule="auto"/>
        <w:rPr>
          <w:rFonts w:ascii="Times New Roman" w:eastAsia="Times New Roman" w:hAnsi="Times New Roman" w:cs="Times New Roman"/>
          <w:b/>
        </w:rPr>
      </w:pPr>
      <w:bookmarkStart w:id="12" w:name="_jevcdtdtohlk" w:colFirst="0" w:colLast="0"/>
      <w:bookmarkEnd w:id="12"/>
      <w:r>
        <w:rPr>
          <w:rFonts w:ascii="Times New Roman" w:eastAsia="Times New Roman" w:hAnsi="Times New Roman" w:cs="Times New Roman"/>
          <w:b/>
        </w:rPr>
        <w:lastRenderedPageBreak/>
        <w:t>Conclusiones.</w:t>
      </w:r>
    </w:p>
    <w:p w:rsidR="00D125BF" w:rsidRDefault="00495850">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las mediciones realizadas durante los días jueves 20/05/2021 hasta el día miércoles 26/05/2021, se concluye que el proveedor o la empresa que realmente cumple con la velocidad ofrecida en el contrato es Cotas, se llega a esta conclusión, debido a que tiene la menor varianza, tanto de subida (0,01) como de bajada (0,43), además la máxima velocidad de Bajada obtenida durante la medición fue de 16,4 Mbps con un Plan de 11 Mbps.</w:t>
      </w:r>
    </w:p>
    <w:p w:rsidR="00D125BF" w:rsidRDefault="00495850">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segundo lugar está entre Tigo, en la zona Virgen de Luján y Entel. En esta zona, Tigo tiene una variabilidad de 0,56 y 0,11 de Subida y Bajada, respectivamente, sin embargo, la máxima velocidad que alcanza con un Plan de 15 Mbps es de 5,21 Mbps. </w:t>
      </w:r>
    </w:p>
    <w:p w:rsidR="00D125BF" w:rsidRDefault="00495850">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Entel se observa que su varianza es de 0,01 de Subida y 2,02 de Bajada, lo cual se podría decir que no es mucho. Además considerando la máxima velocidad obtenida durante las mediciones fue de 14,89 Mbps con un Plan de 15 Mbps en la zona de El Torno.</w:t>
      </w:r>
    </w:p>
    <w:sectPr w:rsidR="00D125B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6F1" w:rsidRDefault="00C736F1" w:rsidP="004D662E">
      <w:pPr>
        <w:spacing w:line="240" w:lineRule="auto"/>
      </w:pPr>
      <w:r>
        <w:separator/>
      </w:r>
    </w:p>
  </w:endnote>
  <w:endnote w:type="continuationSeparator" w:id="0">
    <w:p w:rsidR="00C736F1" w:rsidRDefault="00C736F1" w:rsidP="004D6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6F1" w:rsidRDefault="00C736F1" w:rsidP="004D662E">
      <w:pPr>
        <w:spacing w:line="240" w:lineRule="auto"/>
      </w:pPr>
      <w:r>
        <w:separator/>
      </w:r>
    </w:p>
  </w:footnote>
  <w:footnote w:type="continuationSeparator" w:id="0">
    <w:p w:rsidR="00C736F1" w:rsidRDefault="00C736F1" w:rsidP="004D66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05DA9"/>
    <w:multiLevelType w:val="multilevel"/>
    <w:tmpl w:val="B70E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2810FE"/>
    <w:multiLevelType w:val="multilevel"/>
    <w:tmpl w:val="4CB67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BF"/>
    <w:rsid w:val="00495850"/>
    <w:rsid w:val="004D662E"/>
    <w:rsid w:val="006B62A1"/>
    <w:rsid w:val="00C736F1"/>
    <w:rsid w:val="00D125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9D7"/>
  <w15:docId w15:val="{6F6539D2-F5F8-4827-97F3-D982E9DE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D662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662E"/>
  </w:style>
  <w:style w:type="paragraph" w:styleId="Piedepgina">
    <w:name w:val="footer"/>
    <w:basedOn w:val="Normal"/>
    <w:link w:val="PiedepginaCar"/>
    <w:uiPriority w:val="99"/>
    <w:unhideWhenUsed/>
    <w:rsid w:val="004D662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6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0F957-0844-4980-84EF-1CFE255C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1714</Words>
  <Characters>9775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2021-06-01T22:50:00Z</dcterms:created>
  <dcterms:modified xsi:type="dcterms:W3CDTF">2021-10-20T14:19:00Z</dcterms:modified>
</cp:coreProperties>
</file>