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png"/>
	<Relationship Id="rId7" Type="http://schemas.openxmlformats.org/officeDocument/2006/relationships/image" Target="media/ICU_HW.png"/>
	<Relationship Id="rId8" Type="http://schemas.openxmlformats.org/officeDocument/2006/relationships/image" Target="media/LVPS_HW.png"/>
	<Relationship Id="rId9" Type="http://schemas.openxmlformats.org/officeDocument/2006/relationships/image" Target="media/ICU_SW_Op_modes.png"/>
	<Relationship Id="rId10" Type="http://schemas.openxmlformats.org/officeDocument/2006/relationships/image" Target="media/ICU_HW_IFs.png"/>
	<Relationship Id="rId11" Type="http://schemas.openxmlformats.org/officeDocument/2006/relationships/image" Target="media/EPD_Serial.png"/>
	<Relationship Id="rId12" Type="http://schemas.openxmlformats.org/officeDocument/2006/relationships/image" Target="media/PPS_signal.png"/>
	<Relationship Id="rId13" Type="http://schemas.openxmlformats.org/officeDocument/2006/relationships/image" Target="media/STF.png"/>
	<Relationship Id="rId14" Type="http://schemas.openxmlformats.org/officeDocument/2006/relationships/image" Target="media/TimeTC.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Scope</w:t>
      </w:r>
    </w:p>
    <w:p>
      <w:r>
        <w:t>The Energetic Particle Detector (EPD) suite consists of four sensors measuring electrons, protons, and ions from helium to iron, and operating at partly overlapping energy ranges from 2 keV up to 200 MeV/n. The EPD sensors are:</w:t>
      </w:r>
    </w:p>
    <w:p>
      <w:pPr>
        <w:pStyle w:val="ListParagraph"/>
        <w:numPr>
          <w:ilvl w:val="0"/>
          <w:numId w:val="1"/>
        </w:numPr>
      </w:pPr>
      <w:r>
        <w:t>SupraThermal Electrons, Ions, &amp; Neutrals (STEP)</w:t>
      </w:r>
    </w:p>
    <w:p>
      <w:pPr>
        <w:pStyle w:val="ListParagraph"/>
        <w:numPr>
          <w:ilvl w:val="0"/>
          <w:numId w:val="1"/>
        </w:numPr>
      </w:pPr>
      <w:r>
        <w:t>Suprathermal Ion Spectrograph (SIS)</w:t>
      </w:r>
    </w:p>
    <w:p>
      <w:pPr>
        <w:pStyle w:val="ListParagraph"/>
        <w:numPr>
          <w:ilvl w:val="0"/>
          <w:numId w:val="1"/>
        </w:numPr>
      </w:pPr>
      <w:r>
        <w:t>Electron Proton Telescope (EPT)</w:t>
      </w:r>
    </w:p>
    <w:p>
      <w:pPr>
        <w:pStyle w:val="ListParagraph"/>
        <w:numPr>
          <w:ilvl w:val="0"/>
          <w:numId w:val="1"/>
        </w:numPr>
      </w:pPr>
      <w:r>
        <w:t>High Energy Telescope (HET)</w:t>
      </w:r>
    </w:p>
    <w:p>
      <w:r>
        <w:t>The EPD sensors share the Instrument Control Unit (ICU) that is composed by the Common Data Processing Unit and the Low Voltage Power Supply (CDPU/LVPS), which is the sole power and data interface of EPD to the spacecraft. In order to improve the reliability, the ICU is a redundant system working in a cold redundant configuration. This means that nominal or redundant ICU units are never switched ON simultaneously. CDPU shares information with the STIX, MAG and SWA investigation to allow synchronized high data rate burst-mode operations following on-board identification of predefined triggering events in the EPD data. The CDPU is designed to manage sensors control and monitoring, the sensors timing clock, and sensor data collection, compression, and packetization for telemetry. CDPU is also responsible of the S/C telecommand reception and delivery, if necessary, to the sensors. All sensors have their front-end electronics co-located with the instrument.</w:t>
      </w:r>
    </w:p>
    <w:p>
      <w:r>
        <w:t>STEP consists of a single unit having two view cones in opposite directions. SIS consists of two sensor heads with roughly opposite (160°) view directions sharing a common electronics box. EPT-HET has multiple view cones sharing a common electronics box. There are two identical EPT-HET units.</w:t>
      </w:r>
    </w:p>
    <w:p>
      <w:r>
        <w:t>The overall energy coverage achieved with the EPD sensors is 0.002 MeV to 20 MeV for electrons, 0.003 MeV to 100 MeV for protons, 0.008 MeV/n to 200 MeV/n for heavy ions (species-dependent). This energy and species coverage well satisfies and for a large part exceeds the requirements defined for EPD in the Solar Orbiter Payload Definition Document and in the report of the Joint Science and Technology Definition Team (JSTDT) for the Solar Orbiter/Sentinels mission.</w:t>
      </w:r>
    </w:p>
    <w:p>
      <w:pPr>
        <w:pStyle w:val="Heading1"/>
      </w:pPr>
      <w:r>
        <w:t>Applicable Documents</w:t>
      </w:r>
    </w:p>
    <w:p>
      <w:pPr>
        <w:pStyle w:val="ADRD"/>
      </w:pPr>
      <w:bookmarkStart w:id="0" w:name="AD1"/>
      <w:r>
        <w:t>AD1</w:t>
      </w:r>
      <w:r>
        <w:tab/>
        <w:t>EID-A: Solar Orbiter Experiment Interface Document, Part A. SOL-EST-RCD-0050 issue 5. 03/2015</w:t>
      </w:r>
      <w:bookmarkEnd w:id="0"/>
    </w:p>
    <w:p>
      <w:pPr>
        <w:pStyle w:val="ADRD"/>
      </w:pPr>
      <w:bookmarkStart w:id="1" w:name="AD2"/>
      <w:r>
        <w:t>AD2</w:t>
      </w:r>
      <w:r>
        <w:tab/>
        <w:t>EID-B: Solar Orbiter EPD Experiment Interface Document, Part B. SO-EPD-PO-IF-0001 issue 3 rev 3</w:t>
      </w:r>
      <w:bookmarkEnd w:id="1"/>
    </w:p>
    <w:p>
      <w:pPr>
        <w:pStyle w:val="ADRD"/>
      </w:pPr>
      <w:bookmarkStart w:id="2" w:name="AD3"/>
      <w:r>
        <w:t>AD3</w:t>
      </w:r>
      <w:r>
        <w:tab/>
        <w:t>Interface Control Document (ICD). SO-EPD-ICU-IF-0001 issue 4 rev 0</w:t>
      </w:r>
      <w:bookmarkEnd w:id="2"/>
    </w:p>
    <w:p>
      <w:pPr>
        <w:pStyle w:val="ADRD"/>
      </w:pPr>
      <w:bookmarkStart w:id="3" w:name="AD4"/>
      <w:r>
        <w:t>AD4</w:t>
      </w:r>
      <w:r>
        <w:tab/>
        <w:t>Solar Orbiter Operations Requirements Document. SO-ESC-RS-05001 issue 1 rev 8</w:t>
      </w:r>
      <w:bookmarkEnd w:id="3"/>
    </w:p>
    <w:p>
      <w:pPr>
        <w:pStyle w:val="ADRD"/>
      </w:pPr>
      <w:bookmarkStart w:id="4" w:name="AD5"/>
      <w:r>
        <w:t>AD5</w:t>
      </w:r>
      <w:r>
        <w:tab/>
        <w:t>Software. ECSS-E-ST-40C. 06/03/2009</w:t>
      </w:r>
      <w:bookmarkEnd w:id="4"/>
    </w:p>
    <w:p>
      <w:pPr>
        <w:pStyle w:val="ADRD"/>
      </w:pPr>
      <w:bookmarkStart w:id="5" w:name="AD6"/>
      <w:r>
        <w:t>AD6</w:t>
      </w:r>
      <w:r>
        <w:tab/>
        <w:t>Solar Orbiter (SOLO) Energetic Particle Detector (EPD) Instrument Control Unit (ICU). SO-EPD-ICU-DD-004 issue 5 rev 0</w:t>
      </w:r>
      <w:bookmarkEnd w:id="5"/>
    </w:p>
    <w:p>
      <w:pPr>
        <w:pStyle w:val="ADRD"/>
      </w:pPr>
      <w:bookmarkStart w:id="6" w:name="AD7"/>
      <w:r>
        <w:t>AD7</w:t>
      </w:r>
      <w:r>
        <w:tab/>
        <w:t>EPD Telemetry and Telecommand ICD. SO-EPD-PO-IF-0003 issue 2 rev 9</w:t>
      </w:r>
      <w:bookmarkEnd w:id="6"/>
    </w:p>
    <w:p>
      <w:pPr>
        <w:pStyle w:val="ADRD"/>
      </w:pPr>
      <w:bookmarkStart w:id="7" w:name="AD11"/>
      <w:r>
        <w:t>AD11</w:t>
      </w:r>
      <w:r>
        <w:tab/>
        <w:t>Requirements and clarifications on software development and qualification for Solar Orbiter instruments. SOL-EST-RS-3188 issue 1 rev 0</w:t>
      </w:r>
      <w:bookmarkEnd w:id="7"/>
    </w:p>
    <w:p>
      <w:pPr>
        <w:pStyle w:val="ADRD"/>
      </w:pPr>
      <w:bookmarkStart w:id="8" w:name="AD12"/>
      <w:r>
        <w:t>AD12</w:t>
      </w:r>
      <w:r>
        <w:tab/>
        <w:t>EPD Sensors Data Interface Control Document. SO-EPD-PO-IF-0005 issue 1 rev 6</w:t>
      </w:r>
      <w:bookmarkEnd w:id="8"/>
    </w:p>
    <w:p>
      <w:pPr>
        <w:pStyle w:val="Heading1"/>
      </w:pPr>
      <w:r>
        <w:t>Reference Documents</w:t>
      </w:r>
    </w:p>
    <w:p>
      <w:pPr>
        <w:pStyle w:val="ADRD"/>
      </w:pPr>
      <w:bookmarkStart w:id="9" w:name="RD1"/>
      <w:r>
        <w:t>RD1</w:t>
      </w:r>
      <w:r>
        <w:tab/>
        <w:t>CCSDS Packet Telemetry. CCSDS 102.0-B-5. Blue Book. CCSDS 102.0-B-5. 11/2000</w:t>
      </w:r>
      <w:bookmarkEnd w:id="9"/>
    </w:p>
    <w:p>
      <w:pPr>
        <w:pStyle w:val="ADRD"/>
      </w:pPr>
      <w:bookmarkStart w:id="10" w:name="RD2"/>
      <w:r>
        <w:t>RD2</w:t>
      </w:r>
      <w:r>
        <w:tab/>
        <w:t>Ground systems and operations - Telemetry and telecommand packet utilization. ECSS-E-70-41A. 30/01/2003</w:t>
      </w:r>
      <w:bookmarkEnd w:id="10"/>
    </w:p>
    <w:p>
      <w:pPr>
        <w:pStyle w:val="ADRD"/>
      </w:pPr>
      <w:bookmarkStart w:id="11" w:name="RD3"/>
      <w:r>
        <w:t>RD3</w:t>
      </w:r>
      <w:r>
        <w:tab/>
        <w:t>SpaceWire - Links, nodes, routers and networks. ECSS-E-ST-50-12A. 24/01/2003</w:t>
      </w:r>
      <w:bookmarkEnd w:id="11"/>
    </w:p>
    <w:p>
      <w:pPr>
        <w:pStyle w:val="Heading1"/>
      </w:pPr>
      <w:r>
        <w:t>Terms, Definitions and Abbreviations</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C&amp;DH</w:t>
      </w:r>
      <w:r>
        <w:tab/>
        <w:t>Control and Data Handling</w:t>
      </w:r>
    </w:p>
    <w:p>
      <w:pPr>
        <w:pStyle w:val="TDA"/>
      </w:pPr>
      <w:r>
        <w:t>CDPU</w:t>
      </w:r>
      <w:r>
        <w:tab/>
        <w:t>Common Data Processing Unit</w:t>
      </w:r>
    </w:p>
    <w:p>
      <w:pPr>
        <w:pStyle w:val="TDA"/>
      </w:pPr>
      <w:r>
        <w:t>EGSE</w:t>
      </w:r>
      <w:r>
        <w:tab/>
        <w:t>Electrical Ground Support Equipment</w:t>
      </w:r>
    </w:p>
    <w:p>
      <w:pPr>
        <w:pStyle w:val="TDA"/>
      </w:pPr>
      <w:r>
        <w:t>EPD</w:t>
      </w:r>
      <w:r>
        <w:tab/>
        <w:t>Energetic Particle Detector</w:t>
      </w:r>
    </w:p>
    <w:p>
      <w:pPr>
        <w:pStyle w:val="TDA"/>
      </w:pPr>
      <w:r>
        <w:t>GSS</w:t>
      </w:r>
      <w:r>
        <w:tab/>
        <w:t>Ground Support System</w:t>
      </w:r>
    </w:p>
    <w:p>
      <w:pPr>
        <w:pStyle w:val="TDA"/>
      </w:pPr>
      <w:r>
        <w:t>ICU</w:t>
      </w:r>
      <w:r>
        <w:tab/>
        <w:t>Instrument Control Unit</w:t>
      </w:r>
    </w:p>
    <w:p>
      <w:pPr>
        <w:pStyle w:val="TDA"/>
      </w:pPr>
      <w:r>
        <w:t>IRQ</w:t>
      </w:r>
      <w:r>
        <w:tab/>
        <w:t>Interrupt Request</w:t>
      </w:r>
    </w:p>
    <w:p>
      <w:pPr>
        <w:pStyle w:val="TDA"/>
      </w:pPr>
      <w:r>
        <w:t>FPGA</w:t>
      </w:r>
      <w:r>
        <w:tab/>
        <w:t>Field Programmable Gate Array</w:t>
      </w:r>
    </w:p>
    <w:p>
      <w:pPr>
        <w:pStyle w:val="TDA"/>
      </w:pPr>
      <w:r>
        <w:t>LVPS</w:t>
      </w:r>
      <w:r>
        <w:tab/>
        <w:t>Low Voltage Power Supply</w:t>
      </w:r>
    </w:p>
    <w:p>
      <w:pPr>
        <w:pStyle w:val="TDA"/>
      </w:pPr>
      <w:r>
        <w:t>OBDH</w:t>
      </w:r>
      <w:r>
        <w:tab/>
        <w:t>On-Board Data Handling</w:t>
      </w:r>
    </w:p>
    <w:p>
      <w:pPr>
        <w:pStyle w:val="TDA"/>
      </w:pPr>
      <w:r>
        <w:t>RAM</w:t>
      </w:r>
      <w:r>
        <w:tab/>
        <w:t>Random Access Memory</w:t>
      </w:r>
    </w:p>
    <w:p>
      <w:pPr>
        <w:pStyle w:val="TDA"/>
      </w:pPr>
      <w:r>
        <w:t>RD</w:t>
      </w:r>
      <w:r>
        <w:tab/>
        <w:t>Reference Document</w:t>
      </w:r>
    </w:p>
    <w:p>
      <w:pPr>
        <w:pStyle w:val="TDA"/>
      </w:pPr>
      <w:r>
        <w:t>S/C</w:t>
      </w:r>
      <w:r>
        <w:tab/>
        <w:t>Spacecraft</w:t>
      </w:r>
    </w:p>
    <w:p>
      <w:pPr>
        <w:pStyle w:val="TDA"/>
      </w:pPr>
      <w:r>
        <w:t>SDRAM</w:t>
      </w:r>
      <w:r>
        <w:tab/>
        <w:t>Synchronous Dynamic RAM</w:t>
      </w:r>
    </w:p>
    <w:p>
      <w:pPr>
        <w:pStyle w:val="TDA"/>
      </w:pPr>
      <w:r>
        <w:t>SVVP</w:t>
      </w:r>
      <w:r>
        <w:tab/>
        <w:t>Field Programmable Gate Array</w:t>
      </w:r>
    </w:p>
    <w:p>
      <w:pPr>
        <w:pStyle w:val="TDA"/>
      </w:pPr>
      <w:r>
        <w:t>SW</w:t>
      </w:r>
      <w:r>
        <w:tab/>
        <w:t>Software Verification and Validation Plan</w:t>
      </w:r>
    </w:p>
    <w:p>
      <w:pPr>
        <w:pStyle w:val="TDA"/>
      </w:pPr>
      <w:r>
        <w:t>TBC</w:t>
      </w:r>
      <w:r>
        <w:tab/>
        <w:t>To Be Confirmed</w:t>
      </w:r>
    </w:p>
    <w:p>
      <w:pPr>
        <w:pStyle w:val="TDA"/>
      </w:pPr>
      <w:r>
        <w:t>TC</w:t>
      </w:r>
      <w:r>
        <w:tab/>
        <w:t>Telecommand</w:t>
      </w:r>
    </w:p>
    <w:p>
      <w:pPr>
        <w:pStyle w:val="TDA"/>
      </w:pPr>
      <w:r>
        <w:t>TM</w:t>
      </w:r>
      <w:r>
        <w:tab/>
        <w:t>Telemetry</w:t>
      </w:r>
    </w:p>
    <w:p>
      <w:pPr>
        <w:pStyle w:val="Heading1"/>
      </w:pPr>
      <w:r>
        <w:t>Software Overview</w:t>
      </w:r>
    </w:p>
    <w:p>
      <w:pPr>
        <w:pStyle w:val="Heading2"/>
      </w:pPr>
      <w:r>
        <w:t>Function and Purpose</w:t>
      </w:r>
    </w:p>
    <w:p>
      <w:pPr>
        <w:pStyle w:val="Heading3"/>
      </w:pPr>
      <w:r>
        <w:t>Purpose</w:t>
      </w:r>
    </w:p>
    <w:p>
      <w:r>
        <w:t xml:space="preserve">The EPD Software Requirements Document defines and describes the operations, interfaces, performance, and quality assurance requirements of the EPD's ICU software. The requirements described in this document are derived from </w:t>
      </w:r>
      <w:hyperlink w:anchor="AD1">
        <w:r>
          <w:rPr>
            <w:i/>
          </w:rPr>
          <w:t>AD1</w:t>
        </w:r>
      </w:hyperlink>
      <w:r>
        <w:t xml:space="preserve">, </w:t>
      </w:r>
      <w:hyperlink w:anchor="AD2">
        <w:r>
          <w:rPr>
            <w:i/>
          </w:rPr>
          <w:t>AD2</w:t>
        </w:r>
      </w:hyperlink>
      <w:r>
        <w:t xml:space="preserve">, </w:t>
      </w:r>
      <w:hyperlink w:anchor="AD3">
        <w:r>
          <w:rPr>
            <w:i/>
          </w:rPr>
          <w:t>AD3</w:t>
        </w:r>
      </w:hyperlink>
      <w:r>
        <w:t xml:space="preserve"> and </w:t>
      </w:r>
      <w:hyperlink w:anchor="AD4">
        <w:r>
          <w:rPr>
            <w:i/>
          </w:rPr>
          <w:t>AD4</w:t>
        </w:r>
      </w:hyperlink>
      <w:r>
        <w:t xml:space="preserve"> (EID-A, EID-B, Interface Control Document and Solar Orbiter Operations Requirements Document).</w:t>
      </w:r>
    </w:p>
    <w:p>
      <w:pPr>
        <w:pStyle w:val="Heading3"/>
      </w:pPr>
      <w:r>
        <w:t>Scope</w:t>
      </w:r>
    </w:p>
    <w:p>
      <w:r>
        <w:t>This document applies to the EPD's ICU software.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2"/>
      </w:pPr>
      <w:r>
        <w:t>Environmental Considerations</w:t>
      </w:r>
    </w:p>
    <w:p>
      <w:pPr>
        <w:pStyle w:val="Heading3"/>
      </w:pPr>
      <w:r>
        <w:t>General Description</w:t>
      </w:r>
    </w:p>
    <w:p>
      <w:hyperlink w:anchor="ICU_IF">
        <w:r>
          <w:rPr>
            <w:i/>
          </w:rPr>
          <w:t>ICU_IF</w:t>
        </w:r>
      </w:hyperlink>
      <w:r>
        <w:t xml:space="preserve"> illustrates the top-level interfaces to the ICU, which affect the Instrument Control Unit Software.</w:t>
      </w:r>
    </w:p>
    <w:p>
      <w:bookmarkStart w:id="12" w:name="ICU_IF"/>
      <w:r>
        <w:drawing>
          <wp:inline distT="0" distB="0" distL="0" distR="0">
            <wp:extent cx="5175504" cy="3907536"/>
            <wp:docPr id="1" name="Figure 1"/>
            <a:graphic xmlns:a="http://schemas.openxmlformats.org/drawingml/2006/main">
              <a:graphicData uri="http://schemas.openxmlformats.org/drawingml/2006/picture">
                <pic:pic xmlns:pic="http://schemas.openxmlformats.org/drawingml/2006/picture">
                  <pic:nvPicPr>
                    <pic:cNvPr id="1" name="FSR_images/ICU_IF.png"/>
                    <pic:cNvPicPr/>
                  </pic:nvPicPr>
                  <pic:blipFill>
                    <a:blip r:embed="rId6"/>
                    <a:stretch>
                      <a:fillRect/>
                    </a:stretch>
                  </pic:blipFill>
                  <pic:spPr>
                    <a:xfrm>
                      <a:off x="0" y="0"/>
                      <a:ext cx="5175504" cy="3907536"/>
                    </a:xfrm>
                    <a:prstGeom prst="rect">
                      <a:avLst/>
                    </a:prstGeom>
                  </pic:spPr>
                </pic:pic>
              </a:graphicData>
            </a:graphic>
          </wp:inline>
        </w:drawing>
      </w:r>
      <w:bookmarkEnd w:id="12"/>
    </w:p>
    <w:p>
      <w:pPr>
        <w:pStyle w:val="Caption"/>
      </w:pPr>
      <w:r>
        <w:t>Figure 1: ICU interfaces</w:t>
      </w:r>
    </w:p>
    <w:p>
      <w:r>
        <w:t>EPD's CDPU provides the interface between the Solar Orbiter Spacecraft C&amp;DH system and the EPD sensors (STEP, HET, EPT and SIS). All information transfer between the EPD sensors and the Spacecraft/Ground flows through the CDPU, including telemetry, commands and status. The sensors communicate with the CDPU over a dedicated serial interface.</w:t>
      </w:r>
    </w:p>
    <w:p>
      <w:pPr>
        <w:pStyle w:val="Heading3"/>
      </w:pPr>
      <w:r>
        <w:t>Hardware Overview</w:t>
      </w:r>
    </w:p>
    <w:p>
      <w:r>
        <w:t xml:space="preserve">The ICU is composed by the CDPU and the LVPS. Both units are redundant, working in a cold configuration. Thus we have the CDPU/LVPS nominal unit and the CDPU/LVPS redundant unit. According to the cold redundancy configuration pattern, if one unit is switched ON, the other must be OFF. </w:t>
      </w:r>
      <w:hyperlink w:anchor="ICU_HW">
        <w:r>
          <w:rPr>
            <w:i/>
          </w:rPr>
          <w:t>ICU_HW</w:t>
        </w:r>
      </w:hyperlink>
      <w:r>
        <w:t xml:space="preserve"> shows the basic HW diagram of the ICU.</w:t>
      </w:r>
    </w:p>
    <w:p>
      <w:bookmarkStart w:id="13" w:name="ICU_HW"/>
      <w:r>
        <w:drawing>
          <wp:inline distT="0" distB="0" distL="0" distR="0">
            <wp:extent cx="5400000" cy="3601952"/>
            <wp:docPr id="2" name="Figure 2"/>
            <a:graphic xmlns:a="http://schemas.openxmlformats.org/drawingml/2006/main">
              <a:graphicData uri="http://schemas.openxmlformats.org/drawingml/2006/picture">
                <pic:pic xmlns:pic="http://schemas.openxmlformats.org/drawingml/2006/picture">
                  <pic:nvPicPr>
                    <pic:cNvPr id="1" name="FSR_images/ICU_HW.png"/>
                    <pic:cNvPicPr/>
                  </pic:nvPicPr>
                  <pic:blipFill>
                    <a:blip r:embed="rId7"/>
                    <a:stretch>
                      <a:fillRect/>
                    </a:stretch>
                  </pic:blipFill>
                  <pic:spPr>
                    <a:xfrm>
                      <a:off x="0" y="0"/>
                      <a:ext cx="5400000" cy="3601952"/>
                    </a:xfrm>
                    <a:prstGeom prst="rect">
                      <a:avLst/>
                    </a:prstGeom>
                  </pic:spPr>
                </pic:pic>
              </a:graphicData>
            </a:graphic>
          </wp:inline>
        </w:drawing>
      </w:r>
      <w:bookmarkEnd w:id="13"/>
    </w:p>
    <w:p>
      <w:pPr>
        <w:pStyle w:val="Caption"/>
      </w:pPr>
      <w:r>
        <w:t>Figure 2: ICU hardware schema</w:t>
      </w:r>
    </w:p>
    <w:p>
      <w:r>
        <w:t>As it can be observed, the design is based on a FPGA (the RTAX2000 from Actel) that includes a LEON2 soft processor, the UART-LVDS links with the sensors, the SpaceWire cores and the interfaces with the LVPS and the memory. The RAM memory uses the SDRAM 3DSD2G40VS5238MS (1.56 Gbits in a 40 bit configuration to implement the EDAC) part and the EEPROM memory uses the 3DEE8M32VS8094 (8 Mbits in a 32 bit configuration) part, both from 3Dplus.</w:t>
      </w:r>
    </w:p>
    <w:p>
      <w:r>
        <w:t xml:space="preserve">The LVPS provides +28v non-regulated power supply to the sensors. The switching and monitoring is performed by the CDPU. In </w:t>
      </w:r>
      <w:hyperlink w:anchor="LVPS_HW">
        <w:r>
          <w:rPr>
            <w:i/>
          </w:rPr>
          <w:t>LVPS_HW</w:t>
        </w:r>
      </w:hyperlink>
      <w:r>
        <w:t xml:space="preserve"> a simplified diagram of the LVPS hardware is shown.</w:t>
      </w:r>
    </w:p>
    <w:p>
      <w:bookmarkStart w:id="14" w:name="LVPS_HW"/>
      <w:r>
        <w:drawing>
          <wp:inline distT="0" distB="0" distL="0" distR="0">
            <wp:extent cx="5400000" cy="3580241"/>
            <wp:docPr id="3" name="Figure 3"/>
            <a:graphic xmlns:a="http://schemas.openxmlformats.org/drawingml/2006/main">
              <a:graphicData uri="http://schemas.openxmlformats.org/drawingml/2006/picture">
                <pic:pic xmlns:pic="http://schemas.openxmlformats.org/drawingml/2006/picture">
                  <pic:nvPicPr>
                    <pic:cNvPr id="1" name="FSR_images/LVPS_HW.png"/>
                    <pic:cNvPicPr/>
                  </pic:nvPicPr>
                  <pic:blipFill>
                    <a:blip r:embed="rId8"/>
                    <a:stretch>
                      <a:fillRect/>
                    </a:stretch>
                  </pic:blipFill>
                  <pic:spPr>
                    <a:xfrm>
                      <a:off x="0" y="0"/>
                      <a:ext cx="5400000" cy="3580241"/>
                    </a:xfrm>
                    <a:prstGeom prst="rect">
                      <a:avLst/>
                    </a:prstGeom>
                  </pic:spPr>
                </pic:pic>
              </a:graphicData>
            </a:graphic>
          </wp:inline>
        </w:drawing>
      </w:r>
      <w:bookmarkEnd w:id="14"/>
    </w:p>
    <w:p>
      <w:pPr>
        <w:pStyle w:val="Caption"/>
      </w:pPr>
      <w:r>
        <w:t>Figure 3: LVPS hardware schema</w:t>
      </w:r>
    </w:p>
    <w:p>
      <w:pPr>
        <w:pStyle w:val="Heading3"/>
      </w:pPr>
      <w:r>
        <w:t>Modes</w:t>
      </w:r>
    </w:p>
    <w:p>
      <w:r>
        <w:t xml:space="preserve">In </w:t>
      </w:r>
      <w:hyperlink w:anchor="ICU_SW_Op_modes">
        <w:r>
          <w:rPr>
            <w:i/>
          </w:rPr>
          <w:t>ICU_SW_Op_modes</w:t>
        </w:r>
      </w:hyperlink>
      <w:r>
        <w:t xml:space="preserve"> the modes of operation of ICUSW are represented.</w:t>
      </w:r>
    </w:p>
    <w:p>
      <w:bookmarkStart w:id="15" w:name="ICU_SW_Op_modes"/>
      <w:r>
        <w:drawing>
          <wp:inline distT="0" distB="0" distL="0" distR="0">
            <wp:extent cx="5400000" cy="3226829"/>
            <wp:docPr id="4" name="Figure 4"/>
            <a:graphic xmlns:a="http://schemas.openxmlformats.org/drawingml/2006/main">
              <a:graphicData uri="http://schemas.openxmlformats.org/drawingml/2006/picture">
                <pic:pic xmlns:pic="http://schemas.openxmlformats.org/drawingml/2006/picture">
                  <pic:nvPicPr>
                    <pic:cNvPr id="1" name="FSR_images/ICU_SW_Op_modes.png"/>
                    <pic:cNvPicPr/>
                  </pic:nvPicPr>
                  <pic:blipFill>
                    <a:blip r:embed="rId9"/>
                    <a:stretch>
                      <a:fillRect/>
                    </a:stretch>
                  </pic:blipFill>
                  <pic:spPr>
                    <a:xfrm>
                      <a:off x="0" y="0"/>
                      <a:ext cx="5400000" cy="3226829"/>
                    </a:xfrm>
                    <a:prstGeom prst="rect">
                      <a:avLst/>
                    </a:prstGeom>
                  </pic:spPr>
                </pic:pic>
              </a:graphicData>
            </a:graphic>
          </wp:inline>
        </w:drawing>
      </w:r>
      <w:bookmarkEnd w:id="15"/>
    </w:p>
    <w:p>
      <w:pPr>
        <w:pStyle w:val="Caption"/>
      </w:pPr>
      <w:r>
        <w:t>Figure 4: ICU SW operation modes</w:t>
      </w:r>
    </w:p>
    <w:p>
      <w:r>
        <w:t>The ICUSW shall be able to support the following modes:</w:t>
      </w:r>
    </w:p>
    <w:p>
      <w:pPr>
        <w:pStyle w:val="ListParagraph"/>
        <w:numPr>
          <w:ilvl w:val="0"/>
          <w:numId w:val="2"/>
        </w:numPr>
      </w:pPr>
      <w:r>
        <w:t>OFF: The ICU is not powered.</w:t>
      </w:r>
    </w:p>
    <w:p>
      <w:pPr>
        <w:pStyle w:val="ListParagraph"/>
        <w:numPr>
          <w:ilvl w:val="0"/>
          <w:numId w:val="2"/>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2"/>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 not be executed. In SAFE mode the damaged application software images stored in EEPROM can be restored by means of patch telecommands-</w:t>
      </w:r>
    </w:p>
    <w:p>
      <w:pPr>
        <w:pStyle w:val="ListParagraph"/>
        <w:numPr>
          <w:ilvl w:val="0"/>
          <w:numId w:val="2"/>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2"/>
        </w:numPr>
      </w:pPr>
      <w:r>
        <w:t>OPERATIONAL: this mode is the mode in which EPD is fully operative and generates non-science as well as science data.</w:t>
      </w:r>
    </w:p>
    <w:p>
      <w:r>
        <w:t>Autonomous transitions are the following:</w:t>
      </w:r>
    </w:p>
    <w:p>
      <w:pPr>
        <w:pStyle w:val="ListParagraph"/>
        <w:numPr>
          <w:ilvl w:val="0"/>
          <w:numId w:val="3"/>
        </w:numPr>
      </w:pPr>
      <w:r>
        <w:t>BOOT to CONFIGURATION. This transition is triggered autonomously after a reset when application software is correctly loaded, the target mode is CONFIGURATION, and the control is passed to it.</w:t>
      </w:r>
    </w:p>
    <w:p>
      <w:pPr>
        <w:pStyle w:val="ListParagraph"/>
        <w:numPr>
          <w:ilvl w:val="0"/>
          <w:numId w:val="3"/>
        </w:numPr>
      </w:pPr>
      <w:r>
        <w:t>BOOT to OPERATIONAL. This transition is triggered autonomously after a reset when application software is correctly loaded, the target mode is OPERATIONAL, and the control is passed to it.</w:t>
      </w:r>
    </w:p>
    <w:p>
      <w:pPr>
        <w:pStyle w:val="ListParagraph"/>
        <w:numPr>
          <w:ilvl w:val="0"/>
          <w:numId w:val="3"/>
        </w:numPr>
      </w:pPr>
      <w:r>
        <w:t>BOOT to SAFE. This transition is triggered when application software can not be loaded and the boot software remains in control of the ICU.</w:t>
      </w:r>
    </w:p>
    <w:p>
      <w:pPr>
        <w:pStyle w:val="ListParagraph"/>
        <w:numPr>
          <w:ilvl w:val="0"/>
          <w:numId w:val="3"/>
        </w:numPr>
      </w:pPr>
      <w:r>
        <w:t>SAFE to BOOT. This transition is triggered by a soft reset (fatal error detected such as bus error, memory access error, etc.) or a TC.</w:t>
      </w:r>
    </w:p>
    <w:p>
      <w:pPr>
        <w:pStyle w:val="ListParagraph"/>
        <w:numPr>
          <w:ilvl w:val="0"/>
          <w:numId w:val="3"/>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3"/>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Relation with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rPr>
            <w:i/>
          </w:rPr>
          <w:t>ICU_HW_IFs</w:t>
        </w:r>
      </w:hyperlink>
      <w:r>
        <w:t>.</w:t>
      </w:r>
    </w:p>
    <w:p>
      <w:pPr>
        <w:jc w:val="center"/>
      </w:pPr>
      <w:bookmarkStart w:id="16" w:name="ICU_HW_IFs"/>
      <w:r>
        <w:drawing>
          <wp:inline distT="0" distB="0" distL="0" distR="0">
            <wp:extent cx="3736848" cy="1962912"/>
            <wp:docPr id="5" name="Figure 5"/>
            <a:graphic xmlns:a="http://schemas.openxmlformats.org/drawingml/2006/main">
              <a:graphicData uri="http://schemas.openxmlformats.org/drawingml/2006/picture">
                <pic:pic xmlns:pic="http://schemas.openxmlformats.org/drawingml/2006/picture">
                  <pic:nvPicPr>
                    <pic:cNvPr id="1" name="FSR_images/ICU_HW_IFs.png"/>
                    <pic:cNvPicPr/>
                  </pic:nvPicPr>
                  <pic:blipFill>
                    <a:blip r:embed="rId10"/>
                    <a:stretch>
                      <a:fillRect/>
                    </a:stretch>
                  </pic:blipFill>
                  <pic:spPr>
                    <a:xfrm>
                      <a:off x="0" y="0"/>
                      <a:ext cx="3736848" cy="1962912"/>
                    </a:xfrm>
                    <a:prstGeom prst="rect">
                      <a:avLst/>
                    </a:prstGeom>
                  </pic:spPr>
                </pic:pic>
              </a:graphicData>
            </a:graphic>
          </wp:inline>
        </w:drawing>
      </w:r>
      <w:bookmarkEnd w:id="16"/>
    </w:p>
    <w:p>
      <w:pPr>
        <w:pStyle w:val="Caption"/>
        <w:jc w:val="center"/>
      </w:pPr>
      <w:r>
        <w:t>Figure 5: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4"/>
        </w:numPr>
      </w:pPr>
      <w:r>
        <w:t>Prioritized, preemptive task scheduler.</w:t>
      </w:r>
    </w:p>
    <w:p>
      <w:pPr>
        <w:pStyle w:val="ListParagraph"/>
        <w:numPr>
          <w:ilvl w:val="0"/>
          <w:numId w:val="4"/>
        </w:numPr>
      </w:pPr>
      <w:r>
        <w:t>Inter-process communication.</w:t>
      </w:r>
    </w:p>
    <w:p>
      <w:pPr>
        <w:pStyle w:val="ListParagraph"/>
        <w:numPr>
          <w:ilvl w:val="0"/>
          <w:numId w:val="4"/>
        </w:numPr>
      </w:pPr>
      <w:r>
        <w:t>Resource locks (semaphores).</w:t>
      </w:r>
    </w:p>
    <w:p>
      <w:pPr>
        <w:pStyle w:val="ListParagraph"/>
        <w:numPr>
          <w:ilvl w:val="0"/>
          <w:numId w:val="4"/>
        </w:numPr>
      </w:pPr>
      <w:r>
        <w:t>Timers.</w:t>
      </w:r>
    </w:p>
    <w:p>
      <w:pPr>
        <w:pStyle w:val="Heading3"/>
      </w:pPr>
      <w:r>
        <w:t>Communication Interfaces</w:t>
      </w:r>
    </w:p>
    <w:p>
      <w:pPr>
        <w:pStyle w:val="Heading4"/>
      </w:pPr>
      <w:r>
        <w:t>Sensor Interface</w:t>
      </w:r>
    </w:p>
    <w:p>
      <w:r>
        <w:t xml:space="preserve">All EPD sensors commands and telemetry are communicated via UART protocol at 115200 bauds using Low-Voltage Differential Signalling (LVDS) according to the EPD Serial Data/Command Protocol shown in </w:t>
      </w:r>
      <w:hyperlink w:anchor="EPD_Serial">
        <w:r>
          <w:rPr>
            <w:i/>
          </w:rPr>
          <w:t>EPD_Serial</w:t>
        </w:r>
      </w:hyperlink>
      <w:r>
        <w:t xml:space="preserve"> below. A cold redundant configuration will be used for data transmission/reception links between the CDPU and the sensors.</w:t>
      </w:r>
    </w:p>
    <w:p>
      <w:bookmarkStart w:id="17" w:name="EPD_Serial"/>
      <w:r>
        <w:drawing>
          <wp:inline distT="0" distB="0" distL="0" distR="0">
            <wp:extent cx="3151632" cy="816864"/>
            <wp:docPr id="6" name="Figure 6"/>
            <a:graphic xmlns:a="http://schemas.openxmlformats.org/drawingml/2006/main">
              <a:graphicData uri="http://schemas.openxmlformats.org/drawingml/2006/picture">
                <pic:pic xmlns:pic="http://schemas.openxmlformats.org/drawingml/2006/picture">
                  <pic:nvPicPr>
                    <pic:cNvPr id="1" name="FSR_images/EPD_Serial.png"/>
                    <pic:cNvPicPr/>
                  </pic:nvPicPr>
                  <pic:blipFill>
                    <a:blip r:embed="rId11"/>
                    <a:stretch>
                      <a:fillRect/>
                    </a:stretch>
                  </pic:blipFill>
                  <pic:spPr>
                    <a:xfrm>
                      <a:off x="0" y="0"/>
                      <a:ext cx="3151632" cy="816864"/>
                    </a:xfrm>
                    <a:prstGeom prst="rect">
                      <a:avLst/>
                    </a:prstGeom>
                  </pic:spPr>
                </pic:pic>
              </a:graphicData>
            </a:graphic>
          </wp:inline>
        </w:drawing>
      </w:r>
      <w:bookmarkEnd w:id="17"/>
    </w:p>
    <w:p>
      <w:pPr>
        <w:pStyle w:val="Caption"/>
      </w:pPr>
      <w:r>
        <w:t>Figure 6: EPD Serial Data/Command Protocol</w:t>
      </w:r>
    </w:p>
    <w:p>
      <w:r>
        <w:t xml:space="preserve">Data communication between the sensors and the CDPU is started every second by the CDPU that acts as a master. CDPU will provide a 1 Hz hardware clock (one pulse per second or 1PPS) to the sensors </w:t>
      </w:r>
      <w:hyperlink w:anchor="PPS_signal">
        <w:r>
          <w:rPr>
            <w:i/>
          </w:rPr>
          <w:t>PPS_signal</w:t>
        </w:r>
      </w:hyperlink>
      <w:r>
        <w:t xml:space="preserve">). This 1PPS signal is generated by the CDPU and synchronized with the S/C through the time codes, according to </w:t>
      </w:r>
      <w:hyperlink w:anchor="RD3">
        <w:r>
          <w:rPr>
            <w:i/>
          </w:rPr>
          <w:t>ECSS-E-50-12</w:t>
        </w:r>
      </w:hyperlink>
      <w:r>
        <w:t>, provided by SpaceWire. The CDPU drives the 1PPS signal directly to the sensors via a cabled hardware signal. A specific FPGA hardware entity, integrated in the CDPU, is in charge of generating the 1PPS signal synchronized with the time code reception. LVDS will be used to send 1PPS clock signal, in a cold redundant configuration, to the sensors. This approach eliminates the software latency and jitter of processor interrupt response and avoids the latency of UART transmission. Note that all the signals (transmission/reception and 1PPS clock) both, nominal and redundant are differential signals, so no common ground is needed in any case.</w:t>
      </w:r>
    </w:p>
    <w:p>
      <w:bookmarkStart w:id="18" w:name="PPS_signal"/>
      <w:r>
        <w:drawing>
          <wp:inline distT="0" distB="0" distL="0" distR="0">
            <wp:extent cx="3736848" cy="774192"/>
            <wp:docPr id="7" name="Figure 7"/>
            <a:graphic xmlns:a="http://schemas.openxmlformats.org/drawingml/2006/main">
              <a:graphicData uri="http://schemas.openxmlformats.org/drawingml/2006/picture">
                <pic:pic xmlns:pic="http://schemas.openxmlformats.org/drawingml/2006/picture">
                  <pic:nvPicPr>
                    <pic:cNvPr id="1" name="FSR_images/PPS_signal.png"/>
                    <pic:cNvPicPr/>
                  </pic:nvPicPr>
                  <pic:blipFill>
                    <a:blip r:embed="rId12"/>
                    <a:stretch>
                      <a:fillRect/>
                    </a:stretch>
                  </pic:blipFill>
                  <pic:spPr>
                    <a:xfrm>
                      <a:off x="0" y="0"/>
                      <a:ext cx="3736848" cy="774192"/>
                    </a:xfrm>
                    <a:prstGeom prst="rect">
                      <a:avLst/>
                    </a:prstGeom>
                  </pic:spPr>
                </pic:pic>
              </a:graphicData>
            </a:graphic>
          </wp:inline>
        </w:drawing>
      </w:r>
      <w:bookmarkEnd w:id="18"/>
    </w:p>
    <w:p>
      <w:pPr>
        <w:pStyle w:val="Caption"/>
      </w:pPr>
      <w:r>
        <w:t>Figure 7: 1PPS signal characteristics</w:t>
      </w:r>
    </w:p>
    <w:p>
      <w:r>
        <w:t xml:space="preserve">Data is sent over the command and telemetry interfaces as a transaction. Each transaction contains a single Sensor Transfer Frame (STF). Each STF contains command or telemetry data. The general format of the STF is shown in </w:t>
      </w:r>
      <w:hyperlink w:anchor="STF">
        <w:r>
          <w:rPr>
            <w:i/>
          </w:rPr>
          <w:t>STF</w:t>
        </w:r>
      </w:hyperlink>
      <w:r>
        <w:t>. Command and telemetry-specific formats are described below.</w:t>
      </w:r>
    </w:p>
    <w:p>
      <w:bookmarkStart w:id="19" w:name="STF"/>
      <w:r>
        <w:drawing>
          <wp:inline distT="0" distB="0" distL="0" distR="0">
            <wp:extent cx="5400000" cy="1955645"/>
            <wp:docPr id="8" name="Figure 8"/>
            <a:graphic xmlns:a="http://schemas.openxmlformats.org/drawingml/2006/main">
              <a:graphicData uri="http://schemas.openxmlformats.org/drawingml/2006/picture">
                <pic:pic xmlns:pic="http://schemas.openxmlformats.org/drawingml/2006/picture">
                  <pic:nvPicPr>
                    <pic:cNvPr id="1" name="FSR_images/STF.png"/>
                    <pic:cNvPicPr/>
                  </pic:nvPicPr>
                  <pic:blipFill>
                    <a:blip r:embed="rId13"/>
                    <a:stretch>
                      <a:fillRect/>
                    </a:stretch>
                  </pic:blipFill>
                  <pic:spPr>
                    <a:xfrm>
                      <a:off x="0" y="0"/>
                      <a:ext cx="5400000" cy="1955645"/>
                    </a:xfrm>
                    <a:prstGeom prst="rect">
                      <a:avLst/>
                    </a:prstGeom>
                  </pic:spPr>
                </pic:pic>
              </a:graphicData>
            </a:graphic>
          </wp:inline>
        </w:drawing>
      </w:r>
      <w:bookmarkEnd w:id="19"/>
    </w:p>
    <w:p>
      <w:pPr>
        <w:pStyle w:val="Caption"/>
      </w:pPr>
      <w:r>
        <w:t>Table 1: Sensor Transfer Frame (STF) Format</w:t>
      </w:r>
    </w:p>
    <w:p>
      <w:pPr>
        <w:pStyle w:val="Heading4"/>
      </w:pPr>
      <w:r>
        <w:t>S/C Interface</w:t>
      </w:r>
    </w:p>
    <w:p>
      <w:r>
        <w:t xml:space="preserve">Each CDPU is a remote terminal on the spacecraft SpaceWire link. The implementation will be compliant up to the </w:t>
      </w:r>
      <w:hyperlink w:anchor="RD2">
        <w:r>
          <w:rPr>
            <w:i/>
          </w:rPr>
          <w:t>RD2</w:t>
        </w:r>
      </w:hyperlink>
      <w:r>
        <w:t xml:space="preserve"> and </w:t>
      </w:r>
      <w:hyperlink w:anchor="RD3">
        <w:r>
          <w:rPr>
            <w:i/>
          </w:rPr>
          <w:t>RD3</w:t>
        </w:r>
      </w:hyperlink>
      <w:r>
        <w:t>. Two separate SpaceWire links in a hot redundant configuration will be employed. SpaceWire is the command and data interface with the S/C.</w:t>
      </w:r>
    </w:p>
    <w:p>
      <w:r>
        <w:t xml:space="preserve">EPD command messages are contained in CCSDS telecommand packets. The spacecraft forwards CCSDS telecommand packets to the EPD when they contain any of the EPD identifiers (The EPD Process IDs are defined in </w:t>
      </w:r>
      <w:hyperlink w:anchor="AD7">
        <w:r>
          <w:rPr>
            <w:i/>
          </w:rPr>
          <w:t>AD7</w:t>
        </w:r>
      </w:hyperlink>
      <w:r>
        <w:t>, section 10).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 xml:space="preserve">The list of telecommands and telecommands responses are defined in </w:t>
      </w:r>
      <w:hyperlink w:anchor="AD7">
        <w:r>
          <w:rPr>
            <w:i/>
          </w:rPr>
          <w:t>AD7</w:t>
        </w:r>
      </w:hyperlink>
      <w:r>
        <w:t>.</w:t>
      </w:r>
    </w:p>
    <w:p>
      <w:r>
        <w:t xml:space="preserve">The data interface is used for transfer data (science &amp; housekeeping) and command response from EPD sensors to the CDPU and from CDPU to S/C. Transfer of data and command response from sensors to CDPU shall take place according to the Serial Data/Command Protocol described in Figure 5. Transfer of data and command response from CDPU to the S/C shall take place according to the CCSDS recommendations defined in </w:t>
      </w:r>
      <w:hyperlink w:anchor="RD1">
        <w:r>
          <w:rPr>
            <w:i/>
          </w:rPr>
          <w:t>RD1</w:t>
        </w:r>
      </w:hyperlink>
      <w:r>
        <w:t xml:space="preserve"> and </w:t>
      </w:r>
      <w:hyperlink w:anchor="RD2">
        <w:r>
          <w:rPr>
            <w:i/>
          </w:rPr>
          <w:t>RD2</w:t>
        </w:r>
      </w:hyperlink>
      <w:r>
        <w:t>.</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w:t>
      </w:r>
    </w:p>
    <w:p>
      <w:r>
        <w:t xml:space="preserve">The SCET (see section 4.8.4 of </w:t>
      </w:r>
      <w:hyperlink w:anchor="AD1">
        <w:r>
          <w:rPr>
            <w:i/>
          </w:rPr>
          <w:t>AD1</w:t>
        </w:r>
      </w:hyperlink>
      <w:r>
        <w:t xml:space="preserve">) is considered as the Central Time Reference (CTR) and it is used as on-board reference for the correlation of time on Ground. The Central Time Reference (CTR) is maintained at spacecraft level and distributed to the Instruments in order to synchronize instruments with the DMS and AOCS and allow instruments to time-stamp their telemetry packets. The CDPU receives the time from the S/C formatted as a CCSDS telecommand packet. The time format is spacecraft elapsed time, in seconds and fractions of a second. The received time corresponds to the next SpaceWire time code. The time packet must arrive at least 300 ms before the time code (see </w:t>
      </w:r>
      <w:hyperlink w:anchor="AD1">
        <w:r>
          <w:rPr>
            <w:i/>
          </w:rPr>
          <w:t>AD1</w:t>
        </w:r>
      </w:hyperlink>
      <w:r>
        <w:t>: R-838).</w:t>
      </w:r>
    </w:p>
    <w:p>
      <w:bookmarkStart w:id="20" w:name="TimeTC"/>
      <w:r>
        <w:drawing>
          <wp:inline distT="0" distB="0" distL="0" distR="0">
            <wp:extent cx="5400000" cy="3894811"/>
            <wp:docPr id="8" name="Figure 8"/>
            <a:graphic xmlns:a="http://schemas.openxmlformats.org/drawingml/2006/main">
              <a:graphicData uri="http://schemas.openxmlformats.org/drawingml/2006/picture">
                <pic:pic xmlns:pic="http://schemas.openxmlformats.org/drawingml/2006/picture">
                  <pic:nvPicPr>
                    <pic:cNvPr id="1" name="FSR_images/TimeTC.png"/>
                    <pic:cNvPicPr/>
                  </pic:nvPicPr>
                  <pic:blipFill>
                    <a:blip r:embed="rId14"/>
                    <a:stretch>
                      <a:fillRect/>
                    </a:stretch>
                  </pic:blipFill>
                  <pic:spPr>
                    <a:xfrm>
                      <a:off x="0" y="0"/>
                      <a:ext cx="5400000" cy="3894811"/>
                    </a:xfrm>
                    <a:prstGeom prst="rect">
                      <a:avLst/>
                    </a:prstGeom>
                  </pic:spPr>
                </pic:pic>
              </a:graphicData>
            </a:graphic>
          </wp:inline>
        </w:drawing>
      </w:r>
      <w:bookmarkEnd w:id="20"/>
    </w:p>
    <w:p>
      <w:pPr>
        <w:pStyle w:val="Caption"/>
      </w:pPr>
      <w:r>
        <w:t>Table 2: Time Telecommand Packet Format</w:t>
      </w:r>
    </w:p>
    <w:p>
      <w:pPr>
        <w:pStyle w:val="Heading2"/>
      </w:pPr>
      <w:r>
        <w:t>Constraints</w:t>
      </w:r>
    </w:p>
    <w:p>
      <w:pPr>
        <w:pStyle w:val="Heading1"/>
      </w:pPr>
      <w:r>
        <w:t>Requirements</w:t>
      </w:r>
    </w:p>
    <w:p>
      <w:r>
        <w:t>Each of the EPD sensors has some data processing capabilities either by software running in the sensor DPUs/microcontrollers or by logic functions. The main software, however, is running in the CDPU. The principal functions of the CDPU software are:</w:t>
      </w:r>
    </w:p>
    <w:p>
      <w:pPr>
        <w:pStyle w:val="ListParagraph"/>
        <w:numPr>
          <w:ilvl w:val="0"/>
          <w:numId w:val="5"/>
        </w:numPr>
      </w:pPr>
      <w:r>
        <w:t xml:space="preserve">To collect scientific data from the instruments periodically 1 Hz. </w:t>
      </w:r>
    </w:p>
    <w:p>
      <w:pPr>
        <w:pStyle w:val="ListParagraph"/>
        <w:numPr>
          <w:ilvl w:val="0"/>
          <w:numId w:val="5"/>
        </w:numPr>
      </w:pPr>
      <w:r>
        <w:t>To accumulate high-cadence science data from the sensors to specified lower time resolution packages.</w:t>
      </w:r>
    </w:p>
    <w:p>
      <w:pPr>
        <w:pStyle w:val="ListParagraph"/>
        <w:numPr>
          <w:ilvl w:val="0"/>
          <w:numId w:val="5"/>
        </w:numPr>
      </w:pPr>
      <w:r>
        <w:t>To collect housekeeping data from the four units.</w:t>
      </w:r>
    </w:p>
    <w:p>
      <w:pPr>
        <w:pStyle w:val="ListParagraph"/>
        <w:numPr>
          <w:ilvl w:val="0"/>
          <w:numId w:val="5"/>
        </w:numPr>
      </w:pPr>
      <w:r>
        <w:t>To time tag the data if necessary.</w:t>
      </w:r>
    </w:p>
    <w:p>
      <w:pPr>
        <w:pStyle w:val="ListParagraph"/>
        <w:numPr>
          <w:ilvl w:val="0"/>
          <w:numId w:val="5"/>
        </w:numPr>
      </w:pPr>
      <w:r>
        <w:t>To perform lossless compression of the data if necessary.</w:t>
      </w:r>
    </w:p>
    <w:p>
      <w:pPr>
        <w:pStyle w:val="ListParagraph"/>
        <w:numPr>
          <w:ilvl w:val="0"/>
          <w:numId w:val="5"/>
        </w:numPr>
      </w:pPr>
      <w:r>
        <w:t>To format the data for transmission by the S/C.</w:t>
      </w:r>
    </w:p>
    <w:p>
      <w:pPr>
        <w:pStyle w:val="ListParagraph"/>
        <w:numPr>
          <w:ilvl w:val="0"/>
          <w:numId w:val="5"/>
        </w:numPr>
      </w:pPr>
      <w:r>
        <w:t>To accept and syntactically check TC from the S/C.</w:t>
      </w:r>
    </w:p>
    <w:p>
      <w:pPr>
        <w:pStyle w:val="ListParagraph"/>
        <w:numPr>
          <w:ilvl w:val="0"/>
          <w:numId w:val="5"/>
        </w:numPr>
      </w:pPr>
      <w:r>
        <w:t>To deliver these commands to the individual sensors for execution.</w:t>
      </w:r>
    </w:p>
    <w:p>
      <w:pPr>
        <w:pStyle w:val="ListParagraph"/>
        <w:numPr>
          <w:ilvl w:val="0"/>
          <w:numId w:val="5"/>
        </w:numPr>
      </w:pPr>
      <w:r>
        <w:t>To accept from the ground and distribute to the sensors tables and software.</w:t>
      </w:r>
    </w:p>
    <w:p>
      <w:pPr>
        <w:pStyle w:val="ListParagraph"/>
        <w:numPr>
          <w:ilvl w:val="0"/>
          <w:numId w:val="5"/>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 xml:space="preserve">All software will comply with the requirements defined in the section 4.9.1 of the </w:t>
      </w:r>
      <w:hyperlink w:anchor="AD1">
        <w:r>
          <w:rPr>
            <w:i/>
          </w:rPr>
          <w:t>EID-A</w:t>
        </w:r>
      </w:hyperlink>
      <w:r>
        <w:t>, namely:</w:t>
      </w:r>
    </w:p>
    <w:p>
      <w:pPr>
        <w:pStyle w:val="ListParagraph"/>
        <w:numPr>
          <w:ilvl w:val="0"/>
          <w:numId w:val="6"/>
        </w:numPr>
      </w:pPr>
      <w:r>
        <w:t xml:space="preserve">All on-board software will comply with the software standard ECSS-E-40 by </w:t>
      </w:r>
      <w:hyperlink w:anchor="AD5">
        <w:r>
          <w:rPr>
            <w:i/>
          </w:rPr>
          <w:t>AD5</w:t>
        </w:r>
      </w:hyperlink>
      <w:r>
        <w:t xml:space="preserve"> tailored by </w:t>
      </w:r>
      <w:hyperlink w:anchor="AD11">
        <w:r>
          <w:rPr>
            <w:i/>
          </w:rPr>
          <w:t>AD11</w:t>
        </w:r>
      </w:hyperlink>
      <w:r>
        <w:t>.</w:t>
      </w:r>
    </w:p>
    <w:p>
      <w:pPr>
        <w:pStyle w:val="ListParagraph"/>
        <w:numPr>
          <w:ilvl w:val="0"/>
          <w:numId w:val="6"/>
        </w:numPr>
      </w:pPr>
      <w:r>
        <w:t>Different areas of memory will be employed to store code, fixed constants and variable parameters of the in-flight software.</w:t>
      </w:r>
    </w:p>
    <w:p>
      <w:pPr>
        <w:pStyle w:val="ListParagraph"/>
        <w:numPr>
          <w:ilvl w:val="0"/>
          <w:numId w:val="6"/>
        </w:numPr>
      </w:pPr>
      <w:r>
        <w:t>The PROM memory will include minimum boot software able to manage EEPROM updates and hardware test functions.</w:t>
      </w:r>
    </w:p>
    <w:p>
      <w:pPr>
        <w:pStyle w:val="ListParagraph"/>
        <w:numPr>
          <w:ilvl w:val="0"/>
          <w:numId w:val="6"/>
        </w:numPr>
      </w:pPr>
      <w:r>
        <w:t xml:space="preserve">Independent software module memory updates will be supported. </w:t>
      </w:r>
    </w:p>
    <w:p>
      <w:pPr>
        <w:pStyle w:val="ListParagraph"/>
        <w:numPr>
          <w:ilvl w:val="0"/>
          <w:numId w:val="6"/>
        </w:numPr>
      </w:pPr>
      <w:r>
        <w:t>Blocking the instrument due to S/W maintenance will be avoided. In case of blocking it can be cleared by a power cycling of the instrument.</w:t>
      </w:r>
    </w:p>
    <w:p>
      <w:pPr>
        <w:pStyle w:val="ListParagraph"/>
        <w:numPr>
          <w:ilvl w:val="0"/>
          <w:numId w:val="6"/>
        </w:numPr>
      </w:pPr>
      <w:r>
        <w:t>Instrument safety hazard will be avoided in the software design process.</w:t>
      </w:r>
    </w:p>
    <w:p>
      <w:pPr>
        <w:pStyle w:val="ListParagraph"/>
        <w:numPr>
          <w:ilvl w:val="0"/>
          <w:numId w:val="6"/>
        </w:numPr>
      </w:pPr>
      <w:r>
        <w:t>On-board software will acquire, store and telemeter the employed resources, including memory usage, central processor unit (CPU) usage and I/O usage.</w:t>
      </w:r>
    </w:p>
    <w:p>
      <w:pPr>
        <w:pStyle w:val="ListParagraph"/>
        <w:numPr>
          <w:ilvl w:val="0"/>
          <w:numId w:val="6"/>
        </w:numPr>
      </w:pPr>
      <w:r>
        <w:t>Before enabling the on-board software a mechanism to verify its integrity will be provided.</w:t>
      </w:r>
    </w:p>
    <w:p>
      <w:pPr>
        <w:pStyle w:val="ListParagraph"/>
        <w:numPr>
          <w:ilvl w:val="0"/>
          <w:numId w:val="6"/>
        </w:numPr>
      </w:pPr>
      <w:r>
        <w:t>A single telecommand will be used to enable the on-board software.</w:t>
      </w:r>
    </w:p>
    <w:p>
      <w:pPr>
        <w:pStyle w:val="ListParagraph"/>
        <w:numPr>
          <w:ilvl w:val="0"/>
          <w:numId w:val="6"/>
        </w:numPr>
      </w:pPr>
      <w:r>
        <w:t>Telecommand and telemetry source packets will be the only means to communicate ground and on-board software.</w:t>
      </w:r>
    </w:p>
    <w:p>
      <w:pPr>
        <w:pStyle w:val="ListParagraph"/>
        <w:numPr>
          <w:ilvl w:val="0"/>
          <w:numId w:val="6"/>
        </w:numPr>
      </w:pPr>
      <w:r>
        <w:t>If a processor reset is detected, an event report will be generated.</w:t>
      </w:r>
    </w:p>
    <w:p>
      <w:pPr>
        <w:pStyle w:val="ListParagraph"/>
        <w:numPr>
          <w:ilvl w:val="0"/>
          <w:numId w:val="6"/>
        </w:numPr>
      </w:pPr>
      <w:r>
        <w:t>If a processor overload condition is detected, an event report will be generated.</w:t>
      </w:r>
    </w:p>
    <w:p>
      <w:pPr>
        <w:pStyle w:val="ListParagraph"/>
        <w:numPr>
          <w:ilvl w:val="0"/>
          <w:numId w:val="6"/>
        </w:numPr>
      </w:pPr>
      <w:r>
        <w:t>If an unexpected arithmetic overflow condition is detected, an event report will be generated.</w:t>
      </w:r>
    </w:p>
    <w:p>
      <w:pPr>
        <w:pStyle w:val="ListParagraph"/>
        <w:numPr>
          <w:ilvl w:val="0"/>
          <w:numId w:val="6"/>
        </w:numPr>
      </w:pPr>
      <w:r>
        <w:t>If an illegal program instruction is encountered during execution of a program code, an event report will be generated.</w:t>
      </w:r>
    </w:p>
    <w:p>
      <w:pPr>
        <w:pStyle w:val="ListParagraph"/>
        <w:numPr>
          <w:ilvl w:val="0"/>
          <w:numId w:val="6"/>
        </w:numPr>
      </w:pPr>
      <w:r>
        <w:t>If a data bus error is detected by software, an event report will be generated.</w:t>
      </w:r>
    </w:p>
    <w:p>
      <w:pPr>
        <w:pStyle w:val="ListParagraph"/>
        <w:numPr>
          <w:ilvl w:val="0"/>
          <w:numId w:val="6"/>
        </w:numPr>
      </w:pPr>
      <w:r>
        <w:t>If a memory corruption is detected by an EDAC, an event report will be generated.</w:t>
      </w:r>
    </w:p>
    <w:p>
      <w:pPr>
        <w:pStyle w:val="ListParagraph"/>
        <w:numPr>
          <w:ilvl w:val="0"/>
          <w:numId w:val="6"/>
        </w:numPr>
      </w:pPr>
      <w:r>
        <w:t>If a checksum error is detected, an event report will be generated.</w:t>
      </w:r>
    </w:p>
    <w:p>
      <w:pPr>
        <w:pStyle w:val="ListParagraph"/>
        <w:numPr>
          <w:ilvl w:val="0"/>
          <w:numId w:val="6"/>
        </w:numPr>
      </w:pPr>
      <w:r>
        <w:t>A modularized structure will be employed in the software design process.</w:t>
      </w:r>
    </w:p>
    <w:p>
      <w:r>
        <w:t xml:space="preserve">The ICU shall acquire science data from the sensors every 1 s. The information provided by every sensor shall be stored in a ring buffer of 10 minutes length with 1 s resolution. Every sensor unit will have its own independent ring buffer. According to </w:t>
      </w:r>
      <w:hyperlink w:anchor="AD12">
        <w:r>
          <w:rPr>
            <w:i/>
          </w:rPr>
          <w:t>AD12</w:t>
        </w:r>
      </w:hyperlink>
      <w:r>
        <w:t xml:space="preserve"> 9.5.2, after a programmable number of seconds the received packets with 1 s resolution shall be transformed in one packet. This transformation requires some specific data integration that depends on every sensor. The integrated packet shall be time-tagged with the time of the last integrated packet.</w:t>
      </w:r>
    </w:p>
    <w:p>
      <w:r>
        <w:t xml:space="preserve">Burst trigger is a per-sensor process, not all EPD sensors shall be in burst mode at the same time. The burst can be triggered internally (by an EPD sensor as is defined in </w:t>
      </w:r>
      <w:hyperlink w:anchor="AD12">
        <w:r>
          <w:rPr>
            <w:i/>
          </w:rPr>
          <w:t>AD12</w:t>
        </w:r>
      </w:hyperlink>
      <w:r>
        <w:t xml:space="preserve"> 10.3), that it will be reported to the spacecraft by a PUS service 3 Telemetry, or externally (by events detected in other(s) Solar Orbiter instrument). The EPD can associate the external trigger of Burst mode to the reception of a specific data on the PUS CCSDS service 20 packet according to </w:t>
      </w:r>
      <w:hyperlink w:anchor="AD12">
        <w:r>
          <w:rPr>
            <w:i/>
          </w:rPr>
          <w:t>AD12</w:t>
        </w:r>
      </w:hyperlink>
      <w:r>
        <w:t xml:space="preserve"> 10.2. This packet will be sent from spacecraft to the EPD at a maximum rate of 8Hz.</w:t>
      </w:r>
    </w:p>
    <w:p>
      <w:r>
        <w:t xml:space="preserve">The ICUSW shall also manage a specific set of telemetry generated by the sensor units called Quick Look Data Telemetry. This telemetry will be forwarded to the S/C using a different APID. </w:t>
      </w:r>
    </w:p>
    <w:p>
      <w:r>
        <w:t xml:space="preserve">The transmission rate of the Bust mode telemetries and Quick Look Data Telemetry shall be programmed specifically by means of table stored in EEPROM as is defined in </w:t>
      </w:r>
      <w:hyperlink w:anchor="AD12">
        <w:r>
          <w:rPr>
            <w:i/>
          </w:rPr>
          <w:t>AD12</w:t>
        </w:r>
      </w:hyperlink>
      <w:r>
        <w:t xml:space="preserve"> 9.5.2.</w:t>
      </w:r>
    </w:p>
    <w:p>
      <w:r>
        <w:t>In the following paragraphs a lists of software requirements will be included. Every single requirement has the following format:</w:t>
      </w:r>
    </w:p>
    <w:tbl>
      <w:bookmarkStart w:id="21" w:name="RequirementsTable"/>
      <w:tblPr>
        <w:tblW w:w="5000" w:type="pct"/>
        <w:tblStyle w:val="TableGrid"/>
      </w:tblPr>
      <w:tr>
        <w:tc>
          <w:tcPr>
            <w:tcW w:w="1000" w:type="pct"/>
            <w:shd w:val="clear" w:color="auto" w:fill="D8D8D8"/>
          </w:tcPr>
          <w:p>
            <w:r>
              <w:rPr>
                <w:b/>
              </w:rPr>
              <w:t>Name</w:t>
            </w:r>
          </w:p>
        </w:tc>
        <w:tc>
          <w:tcPr>
            <w:tcW w:w="3200" w:type="pct"/>
            <w:shd w:val="clear" w:color="auto" w:fill="D8D8D8"/>
          </w:tcPr>
          <w:p>
            <w:r>
              <w:rPr>
                <w:b/>
              </w:rPr>
              <w:t>SRS-ICUSW XX-YYYY</w:t>
            </w:r>
          </w:p>
        </w:tc>
        <w:tc>
          <w:tcPr>
            <w:tcW w:w="800" w:type="pct"/>
            <w:shd w:val="clear" w:color="auto" w:fill="D8D8D8"/>
          </w:tcPr>
          <w:p>
            <w:r>
              <w:t>Modes</w:t>
            </w:r>
          </w:p>
        </w:tc>
      </w:tr>
      <w:tr>
        <w:tc>
          <w:tcPr>
            <w:tcW w:w="1000" w:type="pct"/>
            <w:shd w:val="clear" w:color="auto" w:fill="D8D8D8"/>
          </w:tcPr>
          <w:p>
            <w:r>
              <w:rPr>
                <w:b/>
              </w:rPr>
              <w:t>Description</w:t>
            </w:r>
          </w:p>
        </w:tc>
        <w:tc>
          <w:tcPr>
            <w:gridSpan w:val="2"/>
          </w:tcPr>
          <w:p>
            <w:r>
              <w:t>Requirement Description</w:t>
            </w:r>
          </w:p>
        </w:tc>
      </w:tr>
      <w:tr>
        <w:tc>
          <w:tcPr>
            <w:tcW w:w="1000" w:type="pct"/>
            <w:shd w:val="clear" w:color="auto" w:fill="D8D8D8"/>
          </w:tcPr>
          <w:p>
            <w:r>
              <w:rPr>
                <w:b/>
              </w:rPr>
              <w:t>Validation Method</w:t>
            </w:r>
          </w:p>
        </w:tc>
        <w:tc>
          <w:tcPr>
            <w:gridSpan w:val="2"/>
          </w:tcPr>
          <w:p>
            <w:r>
              <w:t>Validation Approach</w:t>
            </w:r>
          </w:p>
        </w:tc>
      </w:tr>
      <w:tr>
        <w:tc>
          <w:tcPr>
            <w:tcW w:w="1000" w:type="pct"/>
            <w:shd w:val="clear" w:color="auto" w:fill="D8D8D8"/>
          </w:tcPr>
          <w:p>
            <w:r>
              <w:rPr>
                <w:b/>
              </w:rPr>
              <w:t>Parent</w:t>
            </w:r>
          </w:p>
        </w:tc>
        <w:tc>
          <w:tcPr>
            <w:gridSpan w:val="2"/>
          </w:tcPr>
          <w:p>
            <w:r>
              <w:t>Requirement Traceability</w:t>
            </w:r>
          </w:p>
        </w:tc>
      </w:tr>
      <w:bookmarkEnd w:id="21"/>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7"/>
        </w:numPr>
      </w:pPr>
      <w:r>
        <w:rPr>
          <w:b/>
        </w:rPr>
        <w:t xml:space="preserve">GE. </w:t>
      </w:r>
      <w:r>
        <w:t>General</w:t>
      </w:r>
    </w:p>
    <w:p>
      <w:pPr>
        <w:pStyle w:val="ListParagraph"/>
        <w:numPr>
          <w:ilvl w:val="0"/>
          <w:numId w:val="7"/>
        </w:numPr>
      </w:pPr>
      <w:r>
        <w:rPr>
          <w:b/>
        </w:rPr>
        <w:t xml:space="preserve">FU. </w:t>
      </w:r>
      <w:r>
        <w:t>Functional</w:t>
      </w:r>
    </w:p>
    <w:p>
      <w:pPr>
        <w:pStyle w:val="ListParagraph"/>
        <w:numPr>
          <w:ilvl w:val="0"/>
          <w:numId w:val="7"/>
        </w:numPr>
      </w:pPr>
      <w:r>
        <w:rPr>
          <w:b/>
        </w:rPr>
        <w:t xml:space="preserve">PE. </w:t>
      </w:r>
      <w:r>
        <w:t>Performance</w:t>
      </w:r>
    </w:p>
    <w:p>
      <w:pPr>
        <w:pStyle w:val="ListParagraph"/>
        <w:numPr>
          <w:ilvl w:val="0"/>
          <w:numId w:val="7"/>
        </w:numPr>
      </w:pPr>
      <w:r>
        <w:rPr>
          <w:b/>
        </w:rPr>
        <w:t xml:space="preserve">IF. </w:t>
      </w:r>
      <w:r>
        <w:t>Interface</w:t>
      </w:r>
    </w:p>
    <w:p>
      <w:pPr>
        <w:pStyle w:val="ListParagraph"/>
        <w:numPr>
          <w:ilvl w:val="0"/>
          <w:numId w:val="7"/>
        </w:numPr>
      </w:pPr>
      <w:r>
        <w:rPr>
          <w:b/>
        </w:rPr>
        <w:t xml:space="preserve">OP. </w:t>
      </w:r>
      <w:r>
        <w:t>Operational</w:t>
      </w:r>
    </w:p>
    <w:p>
      <w:pPr>
        <w:pStyle w:val="ListParagraph"/>
        <w:numPr>
          <w:ilvl w:val="0"/>
          <w:numId w:val="7"/>
        </w:numPr>
      </w:pPr>
      <w:r>
        <w:rPr>
          <w:b/>
        </w:rPr>
        <w:t xml:space="preserve">RS. </w:t>
      </w:r>
      <w:r>
        <w:t>Resources</w:t>
      </w:r>
    </w:p>
    <w:p>
      <w:pPr>
        <w:pStyle w:val="ListParagraph"/>
        <w:numPr>
          <w:ilvl w:val="0"/>
          <w:numId w:val="7"/>
        </w:numPr>
      </w:pPr>
      <w:r>
        <w:rPr>
          <w:b/>
        </w:rPr>
        <w:t xml:space="preserve">DI. </w:t>
      </w:r>
      <w:r>
        <w:t>Design and Implementation Constraints</w:t>
      </w:r>
    </w:p>
    <w:p>
      <w:pPr>
        <w:pStyle w:val="ListParagraph"/>
        <w:numPr>
          <w:ilvl w:val="0"/>
          <w:numId w:val="7"/>
        </w:numPr>
      </w:pPr>
      <w:r>
        <w:rPr>
          <w:b/>
        </w:rPr>
        <w:t xml:space="preserve">SE. </w:t>
      </w:r>
      <w:r>
        <w:t>Security</w:t>
      </w:r>
    </w:p>
    <w:p>
      <w:pPr>
        <w:pStyle w:val="ListParagraph"/>
        <w:numPr>
          <w:ilvl w:val="0"/>
          <w:numId w:val="7"/>
        </w:numPr>
      </w:pPr>
      <w:r>
        <w:rPr>
          <w:b/>
        </w:rPr>
        <w:t xml:space="preserve">PO. </w:t>
      </w:r>
      <w:r>
        <w:t>Portability</w:t>
      </w:r>
    </w:p>
    <w:p>
      <w:pPr>
        <w:pStyle w:val="ListParagraph"/>
        <w:numPr>
          <w:ilvl w:val="0"/>
          <w:numId w:val="7"/>
        </w:numPr>
      </w:pPr>
      <w:r>
        <w:rPr>
          <w:b/>
        </w:rPr>
        <w:t xml:space="preserve">QU. </w:t>
      </w:r>
      <w:r>
        <w:t>Quality</w:t>
      </w:r>
    </w:p>
    <w:p>
      <w:pPr>
        <w:pStyle w:val="ListParagraph"/>
        <w:numPr>
          <w:ilvl w:val="0"/>
          <w:numId w:val="7"/>
        </w:numPr>
      </w:pPr>
      <w:r>
        <w:rPr>
          <w:b/>
        </w:rPr>
        <w:t xml:space="preserve">RE. </w:t>
      </w:r>
      <w:r>
        <w:t>Reliability</w:t>
      </w:r>
    </w:p>
    <w:p>
      <w:pPr>
        <w:pStyle w:val="ListParagraph"/>
        <w:numPr>
          <w:ilvl w:val="0"/>
          <w:numId w:val="7"/>
        </w:numPr>
      </w:pPr>
      <w:r>
        <w:rPr>
          <w:b/>
        </w:rPr>
        <w:t xml:space="preserve">MA. </w:t>
      </w:r>
      <w:r>
        <w:t>Maintainability</w:t>
      </w:r>
    </w:p>
    <w:p>
      <w:pPr>
        <w:pStyle w:val="ListParagraph"/>
        <w:numPr>
          <w:ilvl w:val="0"/>
          <w:numId w:val="7"/>
        </w:numPr>
      </w:pPr>
      <w:r>
        <w:rPr>
          <w:b/>
        </w:rPr>
        <w:t xml:space="preserve">SA. </w:t>
      </w:r>
      <w:r>
        <w:t>Safety</w:t>
      </w:r>
    </w:p>
    <w:p>
      <w:pPr>
        <w:pStyle w:val="ListParagraph"/>
        <w:numPr>
          <w:ilvl w:val="0"/>
          <w:numId w:val="7"/>
        </w:numPr>
      </w:pPr>
      <w:r>
        <w:rPr>
          <w:b/>
        </w:rPr>
        <w:t xml:space="preserve">CD. </w:t>
      </w:r>
      <w:r>
        <w:t>Configuration and delivery</w:t>
      </w:r>
    </w:p>
    <w:p>
      <w:pPr>
        <w:pStyle w:val="ListParagraph"/>
        <w:numPr>
          <w:ilvl w:val="0"/>
          <w:numId w:val="7"/>
        </w:numPr>
      </w:pPr>
      <w:r>
        <w:rPr>
          <w:b/>
        </w:rPr>
        <w:t xml:space="preserve">DD. </w:t>
      </w:r>
      <w:r>
        <w:t>Data definition and database</w:t>
      </w:r>
    </w:p>
    <w:p>
      <w:pPr>
        <w:pStyle w:val="ListParagraph"/>
        <w:numPr>
          <w:ilvl w:val="0"/>
          <w:numId w:val="7"/>
        </w:numPr>
      </w:pPr>
      <w:r>
        <w:rPr>
          <w:b/>
        </w:rPr>
        <w:t xml:space="preserve">AI. </w:t>
      </w:r>
      <w:r>
        <w:t>Adaptation and installation</w:t>
      </w:r>
    </w:p>
    <w:p>
      <w:r>
        <w:t>Examples:</w:t>
      </w:r>
    </w:p>
    <w:p>
      <w:pPr>
        <w:pStyle w:val="ListParagraph"/>
        <w:numPr>
          <w:ilvl w:val="0"/>
          <w:numId w:val="8"/>
        </w:numPr>
      </w:pPr>
      <w:r>
        <w:t>SRS-ICUSW FU-0025</w:t>
      </w:r>
    </w:p>
    <w:p>
      <w:pPr>
        <w:pStyle w:val="ListParagraph"/>
        <w:numPr>
          <w:ilvl w:val="0"/>
          <w:numId w:val="8"/>
        </w:numPr>
      </w:pPr>
      <w:r>
        <w:t>SRS-ICUSW PE R-0037</w:t>
      </w:r>
    </w:p>
    <w:p>
      <w:r>
        <w:rPr>
          <w:b/>
        </w:rPr>
        <w:t xml:space="preserve">Modes: </w:t>
      </w:r>
      <w:r>
        <w:t>establishes the modes in which the requirement is available, namely:</w:t>
      </w:r>
    </w:p>
    <w:p>
      <w:pPr>
        <w:pStyle w:val="ListParagraph"/>
        <w:numPr>
          <w:ilvl w:val="0"/>
          <w:numId w:val="9"/>
        </w:numPr>
      </w:pPr>
      <w:r>
        <w:rPr>
          <w:b/>
        </w:rPr>
        <w:t xml:space="preserve">F. </w:t>
      </w:r>
      <w:r>
        <w:t>Off</w:t>
      </w:r>
    </w:p>
    <w:p>
      <w:pPr>
        <w:pStyle w:val="ListParagraph"/>
        <w:numPr>
          <w:ilvl w:val="0"/>
          <w:numId w:val="9"/>
        </w:numPr>
      </w:pPr>
      <w:r>
        <w:rPr>
          <w:b/>
        </w:rPr>
        <w:t xml:space="preserve">B. </w:t>
      </w:r>
      <w:r>
        <w:t>Boot</w:t>
      </w:r>
    </w:p>
    <w:p>
      <w:pPr>
        <w:pStyle w:val="ListParagraph"/>
        <w:numPr>
          <w:ilvl w:val="0"/>
          <w:numId w:val="9"/>
        </w:numPr>
      </w:pPr>
      <w:r>
        <w:rPr>
          <w:b/>
        </w:rPr>
        <w:t xml:space="preserve">S. </w:t>
      </w:r>
      <w:r>
        <w:t>Safe</w:t>
      </w:r>
    </w:p>
    <w:p>
      <w:pPr>
        <w:pStyle w:val="ListParagraph"/>
        <w:numPr>
          <w:ilvl w:val="0"/>
          <w:numId w:val="9"/>
        </w:numPr>
      </w:pPr>
      <w:r>
        <w:rPr>
          <w:b/>
        </w:rPr>
        <w:t xml:space="preserve">C. </w:t>
      </w:r>
      <w:r>
        <w:t>Configuration</w:t>
      </w:r>
    </w:p>
    <w:p>
      <w:pPr>
        <w:pStyle w:val="ListParagraph"/>
        <w:numPr>
          <w:ilvl w:val="0"/>
          <w:numId w:val="9"/>
        </w:numPr>
      </w:pPr>
      <w:r>
        <w:rPr>
          <w:b/>
        </w:rPr>
        <w:t xml:space="preserve">O. </w:t>
      </w:r>
      <w:r>
        <w:t>Operational</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10"/>
        </w:numPr>
      </w:pPr>
      <w:r>
        <w:rPr>
          <w:b/>
        </w:rPr>
        <w:t xml:space="preserve">R. </w:t>
      </w:r>
      <w:r>
        <w:t>Review</w:t>
      </w:r>
    </w:p>
    <w:p>
      <w:pPr>
        <w:pStyle w:val="ListParagraph"/>
        <w:numPr>
          <w:ilvl w:val="0"/>
          <w:numId w:val="10"/>
        </w:numPr>
      </w:pPr>
      <w:r>
        <w:rPr>
          <w:b/>
        </w:rPr>
        <w:t xml:space="preserve">A. </w:t>
      </w:r>
      <w:r>
        <w:t>Analysis</w:t>
      </w:r>
    </w:p>
    <w:p>
      <w:pPr>
        <w:pStyle w:val="ListParagraph"/>
        <w:numPr>
          <w:ilvl w:val="0"/>
          <w:numId w:val="10"/>
        </w:numPr>
      </w:pPr>
      <w:r>
        <w:rPr>
          <w:b/>
        </w:rPr>
        <w:t xml:space="preserve">I. </w:t>
      </w:r>
      <w:r>
        <w:t>Inspection</w:t>
      </w:r>
    </w:p>
    <w:p>
      <w:pPr>
        <w:pStyle w:val="ListParagraph"/>
        <w:numPr>
          <w:ilvl w:val="0"/>
          <w:numId w:val="10"/>
        </w:numPr>
      </w:pPr>
      <w:r>
        <w:rPr>
          <w:b/>
        </w:rPr>
        <w:t xml:space="preserve">T. </w:t>
      </w:r>
      <w:r>
        <w:t>Test</w:t>
      </w:r>
    </w:p>
    <w:p>
      <w:pPr>
        <w:pStyle w:val="ListParagraph"/>
        <w:numPr>
          <w:ilvl w:val="0"/>
          <w:numId w:val="10"/>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w:t>
      </w:r>
    </w:p>
    <w:p>
      <w:pPr>
        <w:pStyle w:val="Heading3"/>
      </w:pPr>
      <w:r>
        <w:t>Common software requirements</w:t>
      </w:r>
    </w:p>
    <w:tbl>
      <w:tblPr>
        <w:tblW w:w="5000" w:type="pct"/>
        <w:tblStyle w:val="TableGridFirstRowColummShadow"/>
      </w:tblPr>
      <w:tr>
        <w:tc>
          <w:tcPr>
            <w:tcW w:w="1000" w:type="pct"/>
          </w:tcPr>
          <w:p>
            <w:r>
              <w:rPr>
                <w:b/>
              </w:rPr>
              <w:t>Name</w:t>
            </w:r>
          </w:p>
        </w:tc>
        <w:tc>
          <w:tcPr>
            <w:tcW w:w="3200" w:type="pct"/>
          </w:tcPr>
          <w:p>
            <w:r>
              <w:rPr>
                <w:b/>
              </w:rPr>
              <w:t>GE R-00010</w:t>
            </w:r>
          </w:p>
        </w:tc>
        <w:tc>
          <w:tcPr>
            <w:tcW w:w="800" w:type="pct"/>
          </w:tcPr>
          <w:p>
            <w:r>
              <w:t>F, B, S, C, O</w:t>
            </w:r>
          </w:p>
        </w:tc>
      </w:tr>
      <w:tr>
        <w:tc>
          <w:tcPr>
					</w:tcPr>
          <w:p>
            <w:r>
              <w:rPr>
                <w:b/>
              </w:rPr>
              <w:t>Description</w:t>
            </w:r>
          </w:p>
        </w:tc>
        <w:tc>
          <w:tcPr>
            <w:gridSpan w:val="2"/>
            <w:tcW w:w="4000" w:type="pct"/>
          </w:tcPr>
          <w:p>
            <w:r>
              <w:t xml:space="preserve">The ICUSW shall comply with the requirements regarding Onboard Processors, Software and Memory Management as specified in section 2.3.2 and Section 3.6 of </w:t>
            </w:r>
            <w:hyperlink w:anchor="AD4">
              <w:r>
                <w:rPr>
                  <w:i/>
                </w:rPr>
                <w:t>AD4</w:t>
              </w:r>
            </w:hyperlink>
            <w:r>
              <w: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R-406</w:t>
            </w:r>
          </w:p>
        </w:tc>
      </w:tr>
    </w:tbl>
    <w:tbl>
      <w:tblPr>
        <w:tblW w:w="5000" w:type="pct"/>
        <w:tblStyle w:val="TableGridFirstRowColummShadow"/>
      </w:tblPr>
      <w:tr>
        <w:tc>
          <w:tcPr>
            <w:tcW w:w="1000" w:type="pct"/>
          </w:tcPr>
          <w:p>
            <w:r>
              <w:rPr>
                <w:b/>
              </w:rPr>
              <w:t>Name</w:t>
            </w:r>
          </w:p>
        </w:tc>
        <w:tc>
          <w:tcPr>
            <w:tcW w:w="3200" w:type="pct"/>
          </w:tcPr>
          <w:p>
            <w:r>
              <w:rPr>
                <w:b/>
              </w:rPr>
              <w:t>GE R-00030</w:t>
            </w:r>
          </w:p>
        </w:tc>
        <w:tc>
          <w:tcPr>
            <w:tcW w:w="800" w:type="pct"/>
          </w:tcPr>
          <w:p>
            <w:r>
              <w:t>F, B, S, C, O</w:t>
            </w:r>
          </w:p>
        </w:tc>
      </w:tr>
      <w:tr>
        <w:tc>
          <w:tcPr>
					</w:tcPr>
          <w:p>
            <w:r>
              <w:rPr>
                <w:b/>
              </w:rPr>
              <w:t>Description</w:t>
            </w:r>
          </w:p>
        </w:tc>
        <w:tc>
          <w:tcPr>
            <w:gridSpan w:val="2"/>
            <w:tcW w:w="4000" w:type="pct"/>
          </w:tcPr>
          <w:p>
            <w:r>
              <w:t xml:space="preserve">The ICUSW shall ensure that EPD complies to the associated TM-/TC-Packet Services specified as mandatory for the payload in the Operations Interface Requirements Document </w:t>
            </w:r>
            <w:hyperlink w:anchor="AD4">
              <w:r>
                <w:rPr>
                  <w:i/>
                </w:rPr>
                <w:t>AD4</w:t>
              </w:r>
            </w:hyperlink>
            <w:r>
              <w:t>chapter 3. These services are:</w:t>
            </w:r>
          </w:p>
          <w:p>
            <w:pPr>
              <w:pStyle w:val="ListParagraph"/>
              <w:numPr>
                <w:ilvl w:val="0"/>
                <w:numId w:val="11"/>
              </w:numPr>
            </w:pPr>
            <w:r>
              <w:t>Telecommand Verification service</w:t>
            </w:r>
          </w:p>
          <w:p>
            <w:pPr>
              <w:pStyle w:val="ListParagraph"/>
              <w:numPr>
                <w:ilvl w:val="0"/>
                <w:numId w:val="11"/>
              </w:numPr>
            </w:pPr>
            <w:r>
              <w:t>Housekeeping and Diagnostic Reporting service</w:t>
            </w:r>
          </w:p>
          <w:p>
            <w:pPr>
              <w:pStyle w:val="ListParagraph"/>
              <w:numPr>
                <w:ilvl w:val="0"/>
                <w:numId w:val="11"/>
              </w:numPr>
            </w:pPr>
            <w:r>
              <w:t>Event Reporting service</w:t>
            </w:r>
          </w:p>
          <w:p>
            <w:pPr>
              <w:pStyle w:val="ListParagraph"/>
              <w:numPr>
                <w:ilvl w:val="0"/>
                <w:numId w:val="11"/>
              </w:numPr>
            </w:pPr>
            <w:r>
              <w:t>Memory Management service</w:t>
            </w:r>
          </w:p>
          <w:p>
            <w:pPr>
              <w:pStyle w:val="ListParagraph"/>
              <w:numPr>
                <w:ilvl w:val="0"/>
                <w:numId w:val="11"/>
              </w:numPr>
            </w:pPr>
            <w:r>
              <w:t>Time Management service</w:t>
            </w:r>
          </w:p>
          <w:p>
            <w:pPr>
              <w:pStyle w:val="ListParagraph"/>
              <w:numPr>
                <w:ilvl w:val="0"/>
                <w:numId w:val="11"/>
              </w:numPr>
            </w:pPr>
            <w:r>
              <w:t>Test service</w:t>
            </w:r>
          </w:p>
          <w:p>
            <w:pPr>
              <w:pStyle w:val="ListParagraph"/>
              <w:numPr>
                <w:ilvl w:val="0"/>
                <w:numId w:val="11"/>
              </w:numPr>
            </w:pPr>
            <w:r>
              <w:t>Information Distribution service</w:t>
            </w:r>
          </w:p>
          <w:p>
            <w:pPr>
              <w:pStyle w:val="ListParagraph"/>
              <w:numPr>
                <w:ilvl w:val="0"/>
                <w:numId w:val="11"/>
              </w:numPr>
            </w:pPr>
            <w:r>
              <w:t>Science Data Transfer service</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R-180</w:t>
            </w:r>
          </w:p>
        </w:tc>
      </w:tr>
    </w:tbl>
    <w:p>
      <w:pPr>
        <w:pStyle w:val="Heading2"/>
      </w:pPr>
      <w:r>
        <w:t>Performance</w:t>
      </w:r>
    </w:p>
    <w:p>
      <w:pPr>
        <w:pStyle w:val="Heading2"/>
      </w:pPr>
      <w:r>
        <w:t>Interface</w:t>
      </w:r>
    </w:p>
    <w:p>
      <w:pPr>
        <w:pStyle w:val="Heading3"/>
      </w:pPr>
      <w:r>
        <w:t>Common software requirements</w:t>
      </w:r>
    </w:p>
    <w:tbl>
      <w:tblPr>
        <w:tblW w:w="5000" w:type="pct"/>
        <w:tblStyle w:val="TableGridFirstRowColummShadow"/>
      </w:tblPr>
      <w:tr>
        <w:tc>
          <w:tcPr>
            <w:tcW w:w="1000" w:type="pct"/>
          </w:tcPr>
          <w:p>
            <w:r>
              <w:rPr>
                <w:b/>
              </w:rPr>
              <w:t>Name</w:t>
            </w:r>
          </w:p>
        </w:tc>
        <w:tc>
          <w:tcPr>
            <w:tcW w:w="3200" w:type="pct"/>
          </w:tcPr>
          <w:p>
            <w:r>
              <w:rPr>
                <w:b/>
              </w:rPr>
              <w:t>IF R-00150</w:t>
            </w:r>
          </w:p>
        </w:tc>
        <w:tc>
          <w:tcPr>
            <w:tcW w:w="800" w:type="pct"/>
          </w:tcPr>
          <w:p>
            <w:r>
              <w:t>S, C, O</w:t>
            </w:r>
          </w:p>
        </w:tc>
      </w:tr>
      <w:tr>
        <w:tc>
          <w:tcPr>
					</w:tcPr>
          <w:p>
            <w:r>
              <w:rPr>
                <w:b/>
              </w:rPr>
              <w:t>Description</w:t>
            </w:r>
          </w:p>
        </w:tc>
        <w:tc>
          <w:tcPr>
            <w:gridSpan w:val="2"/>
            <w:tcW w:w="4000" w:type="pct"/>
          </w:tcPr>
          <w:p>
            <w:r>
              <w:t xml:space="preserve">The ICUSW shall implement the Telecommand Verification Service (service 1) of the PUS standard according to the requirements TCV-1 to TCV-7, stated as such in the Solar Orbiter Operations Requirement Document </w:t>
            </w:r>
            <w:hyperlink w:anchor="AD4">
              <w:r>
                <w:rPr>
                  <w:i/>
                </w:rPr>
                <w:t>AD4</w:t>
              </w:r>
            </w:hyperlink>
            <w:r>
              <w: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TCV-1, TCV-2, TCV-3, TCV-4, TCV-5, TCV-6, TCV-7</w:t>
            </w:r>
          </w:p>
        </w:tc>
      </w:tr>
    </w:tbl>
    <w:p>
      <w:r>
        <w:t xml:space="preserve">The telemetries related to this requirement is specified in the EPD Telemetry and Telecommand Document </w:t>
      </w:r>
      <w:hyperlink w:anchor="AD7">
        <w:r>
          <w:rPr>
            <w:i/>
          </w:rPr>
          <w:t>AD7</w:t>
        </w:r>
      </w:hyperlink>
      <w:r>
        <w:t>.</w:t>
      </w:r>
    </w:p>
    <w:p>
      <w:r>
        <w:t>his requirement does not apply to telecommand addressed to SIS.</w:t>
      </w:r>
    </w:p>
    <w:tbl>
      <w:tblPr>
        <w:tblW w:w="5000" w:type="pct"/>
        <w:tblStyle w:val="TableGridFirstRowColummShadow"/>
      </w:tblPr>
      <w:tr>
        <w:tc>
          <w:tcPr>
            <w:tcW w:w="1000" w:type="pct"/>
          </w:tcPr>
          <w:p>
            <w:r>
              <w:rPr>
                <w:b/>
              </w:rPr>
              <w:t>Name</w:t>
            </w:r>
          </w:p>
        </w:tc>
        <w:tc>
          <w:tcPr>
            <w:tcW w:w="3200" w:type="pct"/>
          </w:tcPr>
          <w:p>
            <w:r>
              <w:rPr>
                <w:b/>
              </w:rPr>
              <w:t>IF R-00160</w:t>
            </w:r>
          </w:p>
        </w:tc>
        <w:tc>
          <w:tcPr>
            <w:tcW w:w="800" w:type="pct"/>
          </w:tcPr>
          <w:p>
            <w:r>
              <w:t>F, B, S, C, O</w:t>
            </w:r>
          </w:p>
        </w:tc>
      </w:tr>
      <w:tr>
        <w:tc>
          <w:tcPr>
					</w:tcPr>
          <w:p>
            <w:r>
              <w:rPr>
                <w:b/>
              </w:rPr>
              <w:t>Description</w:t>
            </w:r>
          </w:p>
        </w:tc>
        <w:tc>
          <w:tcPr>
            <w:gridSpan w:val="2"/>
            <w:tcW w:w="4000" w:type="pct"/>
          </w:tcPr>
          <w:p>
            <w:r>
              <w:t xml:space="preserve">The ICUSW shall implement the Housekeeping and Diagnostic Data Reporting Service (service 3) according to the requirements PERP-1 to PERP-3 stated as such in the Solar Orbiter Operations Requirement Document </w:t>
            </w:r>
            <w:hyperlink w:anchor="AD4">
              <w:r>
                <w:rPr>
                  <w:i/>
                </w:rPr>
                <w:t>AD4</w:t>
              </w:r>
            </w:hyperlink>
            <w:r>
              <w: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PERP-1, PERP-2, PERP-3</w:t>
            </w:r>
          </w:p>
        </w:tc>
      </w:tr>
    </w:tbl>
    <w:p>
      <w:r>
        <w:t xml:space="preserve">For each ICUSW mode, the telemetries related to this requirement are specified in the EPD Telemetry and Telecommand Document </w:t>
      </w:r>
      <w:hyperlink w:anchor="AD7">
        <w:r>
          <w:rPr>
            <w:i/>
          </w:rPr>
          <w:t>AD7</w:t>
        </w:r>
      </w:hyperlink>
      <w:r>
        <w:t>.</w:t>
      </w:r>
    </w:p>
    <w:tbl>
      <w:tblPr>
        <w:tblW w:w="5000" w:type="pct"/>
        <w:tblStyle w:val="TableGridFirstRowColummShadow"/>
      </w:tblPr>
      <w:tr>
        <w:tc>
          <w:tcPr>
            <w:tcW w:w="1000" w:type="pct"/>
          </w:tcPr>
          <w:p>
            <w:r>
              <w:rPr>
                <w:b/>
              </w:rPr>
              <w:t>Name</w:t>
            </w:r>
          </w:p>
        </w:tc>
        <w:tc>
          <w:tcPr>
            <w:tcW w:w="3200" w:type="pct"/>
          </w:tcPr>
          <w:p>
            <w:r>
              <w:rPr>
                <w:b/>
              </w:rPr>
              <w:t>IF R-00170</w:t>
            </w:r>
          </w:p>
        </w:tc>
        <w:tc>
          <w:tcPr>
            <w:tcW w:w="800" w:type="pct"/>
          </w:tcPr>
          <w:p>
            <w:r>
              <w:t>F, B, S, C, O</w:t>
            </w:r>
          </w:p>
        </w:tc>
      </w:tr>
      <w:tr>
        <w:tc>
          <w:tcPr>
					</w:tcPr>
          <w:p>
            <w:r>
              <w:rPr>
                <w:b/>
              </w:rPr>
              <w:t>Description</w:t>
            </w:r>
          </w:p>
        </w:tc>
        <w:tc>
          <w:tcPr>
            <w:gridSpan w:val="2"/>
            <w:tcW w:w="4000" w:type="pct"/>
          </w:tcPr>
          <w:p>
            <w:r>
              <w:t xml:space="preserve">The ICUSW shall implement the Event Reporting Service (service 5) according to the requirements EVRP-2, EVRP-3, EVRP-4, EVRP-5 and EVRP-7, stated as such in the Solar Orbiter Operations Requirement Document </w:t>
            </w:r>
            <w:hyperlink w:anchor="AD4">
              <w:r>
                <w:rPr>
                  <w:i/>
                </w:rPr>
                <w:t>AD4</w:t>
              </w:r>
            </w:hyperlink>
            <w:r>
              <w: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EVRP-2, EVRP-3, EVRP-4, EVRP-5, EVRP-6, EVRP-7</w:t>
            </w:r>
          </w:p>
        </w:tc>
      </w:tr>
    </w:tbl>
    <w:p>
      <w:r>
        <w:t xml:space="preserve">The complete set of events and telemetries related to this requirement is specified in the EPD Telemetry and Telecommand Document </w:t>
      </w:r>
      <w:hyperlink w:anchor="AD7">
        <w:r>
          <w:rPr>
            <w:i/>
          </w:rPr>
          <w:t>AD7</w:t>
        </w:r>
      </w:hyperlink>
      <w:r>
        <w:t>.</w:t>
      </w:r>
    </w:p>
    <w:tbl>
      <w:tblPr>
        <w:tblW w:w="5000" w:type="pct"/>
        <w:tblStyle w:val="TableGridFirstRowColummShadow"/>
      </w:tblPr>
      <w:tr>
        <w:tc>
          <w:tcPr>
            <w:tcW w:w="1000" w:type="pct"/>
          </w:tcPr>
          <w:p>
            <w:r>
              <w:rPr>
                <w:b/>
              </w:rPr>
              <w:t>Name</w:t>
            </w:r>
          </w:p>
        </w:tc>
        <w:tc>
          <w:tcPr>
            <w:tcW w:w="3200" w:type="pct"/>
          </w:tcPr>
          <w:p>
            <w:r>
              <w:rPr>
                <w:b/>
              </w:rPr>
              <w:t>IF R-00180</w:t>
            </w:r>
          </w:p>
        </w:tc>
        <w:tc>
          <w:tcPr>
            <w:tcW w:w="800" w:type="pct"/>
          </w:tcPr>
          <w:p>
            <w:r>
              <w:t>F, B, S, C, O</w:t>
            </w:r>
          </w:p>
        </w:tc>
      </w:tr>
      <w:tr>
        <w:tc>
          <w:tcPr>
					</w:tcPr>
          <w:p>
            <w:r>
              <w:rPr>
                <w:b/>
              </w:rPr>
              <w:t>Description</w:t>
            </w:r>
          </w:p>
        </w:tc>
        <w:tc>
          <w:tcPr>
            <w:gridSpan w:val="2"/>
            <w:tcW w:w="4000" w:type="pct"/>
          </w:tcPr>
          <w:p>
            <w:r>
              <w:t>The ICUSW shall implement support for event based reporting telemetry packets. For anomaly reports, 3 levels of criticality (low, medium and high) shall be distinguished. Telemetries Nominal/Progress Report, service 5,1; Error/Anomaly Report - Low Severity, service 5,2; Error/Anomaly Report - Medium Severity, service 5,3; Error/Anomaly Report - High Severity, service 5,4.</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EVRP-1</w:t>
            </w:r>
          </w:p>
        </w:tc>
      </w:tr>
    </w:tbl>
    <w:p>
      <w:r>
        <w:t xml:space="preserve">The assignment of events to the different service 5,x telemetries is specified in the EPD Telemetry and Telecommand Document </w:t>
      </w:r>
      <w:hyperlink w:anchor="AD7">
        <w:r>
          <w:rPr>
            <w:i/>
          </w:rPr>
          <w:t>AD7</w:t>
        </w:r>
      </w:hyperlink>
      <w:r>
        <w:t>.</w:t>
      </w:r>
    </w:p>
    <w:tbl>
      <w:tblPr>
        <w:tblW w:w="5000" w:type="pct"/>
        <w:tblStyle w:val="TableGridFirstRowColummShadow"/>
      </w:tblPr>
      <w:tr>
        <w:tc>
          <w:tcPr>
            <w:tcW w:w="1000" w:type="pct"/>
          </w:tcPr>
          <w:p>
            <w:r>
              <w:rPr>
                <w:b/>
              </w:rPr>
              <w:t>Name</w:t>
            </w:r>
          </w:p>
        </w:tc>
        <w:tc>
          <w:tcPr>
            <w:tcW w:w="3200" w:type="pct"/>
          </w:tcPr>
          <w:p>
            <w:r>
              <w:rPr>
                <w:b/>
              </w:rPr>
              <w:t>IF R-00390</w:t>
            </w:r>
          </w:p>
        </w:tc>
        <w:tc>
          <w:tcPr>
            <w:tcW w:w="800" w:type="pct"/>
          </w:tcPr>
          <w:p>
            <w:r>
              <w:t>S, C, O</w:t>
            </w:r>
          </w:p>
        </w:tc>
      </w:tr>
      <w:tr>
        <w:tc>
          <w:tcPr>
					</w:tcPr>
          <w:p>
            <w:r>
              <w:rPr>
                <w:b/>
              </w:rPr>
              <w:t>Description</w:t>
            </w:r>
          </w:p>
        </w:tc>
        <w:tc>
          <w:tcPr>
            <w:gridSpan w:val="2"/>
            <w:tcW w:w="4000" w:type="pct"/>
          </w:tcPr>
          <w:p>
            <w:r>
              <w:t xml:space="preserve">The ICUSW shall implement a connection test service (Service 17) according to the specifications given chapter 3 of </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R-261</w:t>
            </w:r>
          </w:p>
        </w:tc>
      </w:tr>
    </w:tbl>
    <w:p>
      <w:r>
        <w:t>This test service implies that the ICUSW will answer with a service 17,2 telemetry packet to a telecommand of service 17,1.</w:t>
      </w:r>
    </w:p>
    <w:p>
      <w:pPr>
        <w:pStyle w:val="Heading2"/>
      </w:pPr>
      <w:r>
        <w:t>Functional</w:t>
      </w:r>
    </w:p>
    <w:p>
      <w:pPr>
        <w:pStyle w:val="Heading3"/>
      </w:pPr>
      <w:r>
        <w:t>Common software requirements</w:t>
      </w:r>
    </w:p>
    <w:tbl>
      <w:tblPr>
        <w:tblW w:w="5000" w:type="pct"/>
        <w:tblStyle w:val="TableGridFirstRowColummShadow"/>
      </w:tblPr>
      <w:tr>
        <w:tc>
          <w:tcPr>
            <w:tcW w:w="1000" w:type="pct"/>
          </w:tcPr>
          <w:p>
            <w:r>
              <w:rPr>
                <w:b/>
              </w:rPr>
              <w:t>Name</w:t>
            </w:r>
          </w:p>
        </w:tc>
        <w:tc>
          <w:tcPr>
            <w:tcW w:w="3200" w:type="pct"/>
          </w:tcPr>
          <w:p>
            <w:r>
              <w:rPr>
                <w:b/>
              </w:rPr>
              <w:t>FU R-00180</w:t>
            </w:r>
          </w:p>
        </w:tc>
        <w:tc>
          <w:tcPr>
            <w:tcW w:w="800" w:type="pct"/>
          </w:tcPr>
          <w:p>
            <w:r>
              <w:t>S, C, O</w:t>
            </w:r>
          </w:p>
        </w:tc>
      </w:tr>
      <w:tr>
        <w:tc>
          <w:tcPr>
					</w:tcPr>
          <w:p>
            <w:r>
              <w:rPr>
                <w:b/>
              </w:rPr>
              <w:t>Description</w:t>
            </w:r>
          </w:p>
        </w:tc>
        <w:tc>
          <w:tcPr>
            <w:gridSpan w:val="2"/>
            <w:tcW w:w="4000" w:type="pct"/>
          </w:tcPr>
          <w:p>
            <w:r>
              <w:t>The ICUSW shall provide the Telecommand Verification service (service 1) to allow adequate and unambiguous verification of acceptance, progress (where applicable) and execution of all telecommands sent from any source (sent from Ground for immediate, delayed or time-tagged execution, and sent from onboard applications).</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TM-4, R-366</w:t>
            </w:r>
          </w:p>
        </w:tc>
      </w:tr>
    </w:tbl>
    <w:tbl>
      <w:tblPr>
        <w:tblW w:w="5000" w:type="pct"/>
        <w:tblStyle w:val="TableGridFirstRowColummShadow"/>
      </w:tblPr>
      <w:tr>
        <w:tc>
          <w:tcPr>
            <w:tcW w:w="1000" w:type="pct"/>
          </w:tcPr>
          <w:p>
            <w:r>
              <w:rPr>
                <w:b/>
              </w:rPr>
              <w:t>Name</w:t>
            </w:r>
          </w:p>
        </w:tc>
        <w:tc>
          <w:tcPr>
            <w:tcW w:w="3200" w:type="pct"/>
          </w:tcPr>
          <w:p>
            <w:r>
              <w:rPr>
                <w:b/>
              </w:rPr>
              <w:t>FU R-00390</w:t>
            </w:r>
          </w:p>
        </w:tc>
        <w:tc>
          <w:tcPr>
            <w:tcW w:w="800" w:type="pct"/>
          </w:tcPr>
          <w:p>
            <w:r>
              <w:t>S, C, O</w:t>
            </w:r>
          </w:p>
        </w:tc>
      </w:tr>
      <w:tr>
        <w:tc>
          <w:tcPr>
					</w:tcPr>
          <w:p>
            <w:r>
              <w:rPr>
                <w:b/>
              </w:rPr>
              <w:t>Description</w:t>
            </w:r>
          </w:p>
        </w:tc>
        <w:tc>
          <w:tcPr>
            <w:gridSpan w:val="2"/>
            <w:tcW w:w="4000" w:type="pct"/>
          </w:tcPr>
          <w:p>
            <w:r>
              <w:t>The ICUSW shall provide an are you alive function for testing the end-to-end connection between Ground or Command &amp; Control Function and itself. This function implements the Telecommand Perform Connection Test, service 17,1; and response Telemetry Connection Test Report, service 17,2.</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FTS-1, FTS-2</w:t>
            </w:r>
          </w:p>
        </w:tc>
      </w:tr>
    </w:tbl>
    <w:p>
      <w:pPr>
        <w:pStyle w:val="Heading3"/>
      </w:pPr>
      <w:r>
        <w:t>Application software requirements</w:t>
      </w:r>
    </w:p>
    <w:tbl>
      <w:tblPr>
        <w:tblW w:w="5000" w:type="pct"/>
        <w:tblStyle w:val="TableGridFirstRowColummShadow"/>
      </w:tblPr>
      <w:tr>
        <w:tc>
          <w:tcPr>
            <w:tcW w:w="1000" w:type="pct"/>
          </w:tcPr>
          <w:p>
            <w:r>
              <w:rPr>
                <w:b/>
              </w:rPr>
              <w:t>Name</w:t>
            </w:r>
          </w:p>
        </w:tc>
        <w:tc>
          <w:tcPr>
            <w:tcW w:w="3200" w:type="pct"/>
          </w:tcPr>
          <w:p>
            <w:r>
              <w:rPr>
                <w:b/>
              </w:rPr>
              <w:t>FU R-00370</w:t>
            </w:r>
          </w:p>
        </w:tc>
        <w:tc>
          <w:tcPr>
            <w:tcW w:w="800" w:type="pct"/>
          </w:tcPr>
          <w:p>
            <w:r>
              <w:t>C, O</w:t>
            </w:r>
          </w:p>
        </w:tc>
      </w:tr>
      <w:tr>
        <w:tc>
          <w:tcPr>
					</w:tcPr>
          <w:p>
            <w:r>
              <w:rPr>
                <w:b/>
              </w:rPr>
              <w:t>Description</w:t>
            </w:r>
          </w:p>
        </w:tc>
        <w:tc>
          <w:tcPr>
            <w:gridSpan w:val="2"/>
            <w:tcW w:w="4000" w:type="pct"/>
          </w:tcPr>
          <w:p>
            <w:r>
              <w:t>The ICUSW shall provide the service 3,129 in order to specify the frequency of generation of a specified housekeeping telemetry packet via Telecommand Update HK Report Generation Period.</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PERP-7</w:t>
            </w:r>
          </w:p>
        </w:tc>
      </w:tr>
    </w:tbl>
    <w:p>
      <w:r>
        <w:t>The frequency accepted by the ICUSW must be &lt;= 1Hz.</w:t>
      </w:r>
    </w:p>
    <w:tbl>
      <w:tblPr>
        <w:tblW w:w="5000" w:type="pct"/>
        <w:tblStyle w:val="TableGridFirstRowColummShadow"/>
      </w:tblPr>
      <w:tr>
        <w:tc>
          <w:tcPr>
            <w:tcW w:w="1000" w:type="pct"/>
          </w:tcPr>
          <w:p>
            <w:r>
              <w:rPr>
                <w:b/>
              </w:rPr>
              <w:t>Name</w:t>
            </w:r>
          </w:p>
        </w:tc>
        <w:tc>
          <w:tcPr>
            <w:tcW w:w="3200" w:type="pct"/>
          </w:tcPr>
          <w:p>
            <w:r>
              <w:rPr>
                <w:b/>
              </w:rPr>
              <w:t>FU R-00380</w:t>
            </w:r>
          </w:p>
        </w:tc>
        <w:tc>
          <w:tcPr>
            <w:tcW w:w="800" w:type="pct"/>
          </w:tcPr>
          <w:p>
            <w:r>
              <w:t>C, O</w:t>
            </w:r>
          </w:p>
        </w:tc>
      </w:tr>
      <w:tr>
        <w:tc>
          <w:tcPr>
					</w:tcPr>
          <w:p>
            <w:r>
              <w:rPr>
                <w:b/>
              </w:rPr>
              <w:t>Description</w:t>
            </w:r>
          </w:p>
        </w:tc>
        <w:tc>
          <w:tcPr>
            <w:gridSpan w:val="2"/>
            <w:tcW w:w="4000" w:type="pct"/>
          </w:tcPr>
          <w:p>
            <w:r>
              <w:t>The ICUSW application software shall provide the services 3,5 and 3,6.</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PERP-12</w:t>
            </w:r>
          </w:p>
        </w:tc>
      </w:tr>
    </w:tbl>
    <w:p>
      <w:r>
        <w:t>Using these services, it will be possible to enable/disable by telecommand the generation of an existing housekeeping packet (and for more than one packet as part of the same command). Telecommands Enable HK Parameter Report Generation, service 3,5; and Disable HK Parameter Report Generation, service 3,6.</w:t>
      </w:r>
    </w:p>
    <w:p>
      <w:pPr>
        <w:pStyle w:val="Heading2"/>
      </w:pPr>
      <w:r>
        <w:t>Operational</w:t>
      </w:r>
    </w:p>
    <w:p>
      <w:pPr>
        <w:pStyle w:val="Heading2"/>
      </w:pPr>
      <w:r>
        <w:t>Resources</w:t>
      </w:r>
    </w:p>
    <w:p>
      <w:pPr>
        <w:pStyle w:val="Heading3"/>
      </w:pPr>
      <w:r>
        <w:t>Application software requirements</w:t>
      </w:r>
    </w:p>
    <w:p>
      <w:r>
        <w:t>The resources related to the management  links between the ICU and the sensor units for ICUSW execution are enumerated in the following requirements:</w:t>
      </w:r>
    </w:p>
    <w:tbl>
      <w:tblPr>
        <w:tblW w:w="5000" w:type="pct"/>
        <w:tblStyle w:val="TableGridFirstRowColummShadow"/>
      </w:tblPr>
      <w:tr>
        <w:tc>
          <w:tcPr>
            <w:tcW w:w="1000" w:type="pct"/>
          </w:tcPr>
          <w:p>
            <w:r>
              <w:rPr>
                <w:b/>
              </w:rPr>
              <w:t>Name</w:t>
            </w:r>
          </w:p>
        </w:tc>
        <w:tc>
          <w:tcPr>
            <w:tcW w:w="3200" w:type="pct"/>
          </w:tcPr>
          <w:p>
            <w:r>
              <w:rPr>
                <w:b/>
              </w:rPr>
              <w:t>RE R-00070</w:t>
            </w:r>
          </w:p>
        </w:tc>
        <w:tc>
          <w:tcPr>
            <w:tcW w:w="800" w:type="pct"/>
          </w:tcPr>
          <w:p>
            <w:r>
              <w:t>C, O</w:t>
            </w:r>
          </w:p>
        </w:tc>
      </w:tr>
      <w:tr>
        <w:tc>
          <w:tcPr>
					</w:tcPr>
          <w:p>
            <w:r>
              <w:rPr>
                <w:b/>
              </w:rPr>
              <w:t>Description</w:t>
            </w:r>
          </w:p>
        </w:tc>
        <w:tc>
          <w:tcPr>
            <w:gridSpan w:val="2"/>
            <w:tcW w:w="4000" w:type="pct"/>
          </w:tcPr>
          <w:p>
            <w:r>
              <w:t>The ICUSW failure detection functions shall control the continuous production of service 5 report packets corresponding to the same anomaly by means of autonomously disabling individually the report packet generation after each reported anomaly.</w:t>
            </w:r>
          </w:p>
          <w:p>
            <w:r>
              <w:t>The service 5,5 and 5,6 telecommands will be used to control the report packet generation.</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R-264, FDIR-14, R-407, EVRP-6</w:t>
            </w:r>
          </w:p>
        </w:tc>
      </w:tr>
    </w:tbl>
    <w:p>
      <w:r>
        <w:t xml:space="preserve">The service 5 telemetry for anomaly reports is defined in the EPD Telemetry and Telecommand Document </w:t>
      </w:r>
      <w:hyperlink w:anchor="AD7">
        <w:r>
          <w:rPr>
            <w:i/>
          </w:rPr>
          <w:t>AD7</w:t>
        </w:r>
      </w:hyperlink>
      <w:r>
        <w:t>.</w:t>
      </w:r>
    </w:p>
    <w:p>
      <w:r>
        <w:t xml:space="preserve">The service 5,5 and 5,6 telecommand that controls the report packet generation is defined in the EPD Telemetry and Telecommand Document </w:t>
      </w:r>
      <w:hyperlink w:anchor="AD7">
        <w:r>
          <w:rPr>
            <w:i/>
          </w:rPr>
          <w:t>AD7</w:t>
        </w:r>
      </w:hyperlink>
      <w:r>
        <w:t>.</w:t>
      </w:r>
    </w:p>
    <w:p>
      <w:pPr>
        <w:pStyle w:val="Heading2"/>
      </w:pPr>
      <w:r>
        <w:t>Design</w:t>
      </w:r>
    </w:p>
    <w:p>
      <w:pPr>
        <w:pStyle w:val="Heading3"/>
      </w:pPr>
      <w:r>
        <w:t>Application software requirements</w:t>
      </w:r>
    </w:p>
    <w:p>
      <w:r>
        <w:t>The ICUSW application software will handle the information about EPD status, houseeking and fault detection and recovery management according to the following design requirements:</w:t>
      </w:r>
    </w:p>
    <w:tbl>
      <w:tblPr>
        <w:tblW w:w="5000" w:type="pct"/>
        <w:tblStyle w:val="TableGridFirstRowColummShadow"/>
      </w:tblPr>
      <w:tr>
        <w:tc>
          <w:tcPr>
            <w:tcW w:w="1000" w:type="pct"/>
          </w:tcPr>
          <w:p>
            <w:r>
              <w:rPr>
                <w:b/>
              </w:rPr>
              <w:t>Name</w:t>
            </w:r>
          </w:p>
        </w:tc>
        <w:tc>
          <w:tcPr>
            <w:tcW w:w="3200" w:type="pct"/>
          </w:tcPr>
          <w:p>
            <w:r>
              <w:rPr>
                <w:b/>
              </w:rPr>
              <w:t>DI R-00030</w:t>
            </w:r>
          </w:p>
        </w:tc>
        <w:tc>
          <w:tcPr>
            <w:tcW w:w="800" w:type="pct"/>
          </w:tcPr>
          <w:p>
            <w:r>
              <w:t>C, O</w:t>
            </w:r>
          </w:p>
        </w:tc>
      </w:tr>
      <w:tr>
        <w:tc>
          <w:tcPr>
					</w:tcPr>
          <w:p>
            <w:r>
              <w:rPr>
                <w:b/>
              </w:rPr>
              <w:t>Description</w:t>
            </w:r>
          </w:p>
        </w:tc>
        <w:tc>
          <w:tcPr>
            <w:gridSpan w:val="2"/>
            <w:tcW w:w="4000" w:type="pct"/>
          </w:tcPr>
          <w:p>
            <w:r>
              <w:t>The application software of the ICUSW will provide the EPD status information in service 3 telemetry from direct measurements from operating units rather than from secondary effects.</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R-366</w:t>
            </w:r>
          </w:p>
        </w:tc>
      </w:tr>
    </w:tbl>
    <w:p>
      <w:pPr>
        <w:pStyle w:val="Heading2"/>
      </w:pPr>
      <w:r>
        <w:t>Security and Privacy</w:t>
      </w:r>
    </w:p>
    <w:p>
      <w:pPr>
        <w:pStyle w:val="Heading2"/>
      </w:pPr>
      <w:r>
        <w:t>Portability</w:t>
      </w:r>
    </w:p>
    <w:p>
      <w:pPr>
        <w:pStyle w:val="Heading2"/>
      </w:pPr>
      <w:r>
        <w:t>Software Quality</w:t>
      </w:r>
    </w:p>
    <w:p>
      <w:pPr>
        <w:pStyle w:val="Heading2"/>
      </w:pPr>
      <w:r>
        <w:t>Software Reliability</w:t>
      </w:r>
    </w:p>
    <w:p>
      <w:pPr>
        <w:pStyle w:val="Heading2"/>
      </w:pPr>
      <w:r>
        <w:t>Software Maintainability</w:t>
      </w:r>
    </w:p>
    <w:p>
      <w:pPr>
        <w:pStyle w:val="Heading2"/>
      </w:pPr>
      <w:r>
        <w:t>Software Safety</w:t>
      </w:r>
    </w:p>
    <w:p>
      <w:pPr>
        <w:pStyle w:val="Heading2"/>
      </w:pPr>
      <w:r>
        <w:t>Software Configuration Delivery</w:t>
      </w:r>
    </w:p>
    <w:p>
      <w:pPr>
        <w:pStyle w:val="Heading2"/>
      </w:pPr>
      <w:r>
        <w:t>Data Definition Database</w:t>
      </w:r>
    </w:p>
    <w:p>
      <w:pPr>
        <w:pStyle w:val="Heading2"/>
      </w:pPr>
      <w:r>
        <w:t>Human Factors</w:t>
      </w:r>
    </w:p>
    <w:p>
      <w:pPr>
        <w:pStyle w:val="Heading2"/>
      </w:pPr>
      <w:r>
        <w:t>Adaptation Installation</w:t>
      </w:r>
    </w:p>
    <w:p>
      <w:pPr>
        <w:pStyle w:val="Heading1"/>
      </w:pPr>
      <w:r>
        <w:t>Logical Models</w:t>
      </w:r>
    </w:p>
    <w:p>
      <w:pPr>
        <w:pStyle w:val="Heading1"/>
      </w:pPr>
      <w:r>
        <w:t>Traceability Matrices</w:t>
      </w:r>
    </w:p>
    <w:p>
      <w:pPr>
        <w:pStyle w:val="Heading2"/>
      </w:pPr>
      <w:r>
        <w:t>Direct Traceability Matrix</w:t>
      </w:r>
    </w:p>
    <w:tbl>
      <w:tblPr>
        <w:tblW w:w="5000" w:type="pct"/>
        <w:tblStyle w:val="TableGridFirstRowShadow"/>
      </w:tblPr>
      <w:tr>
        <w:tc>
          <w:tcPr>
            <w:tcW w:w="1850" w:type="pct"/>
          </w:tcPr>
          <w:p>
            <w:r>
              <w:rPr>
                <w:b/>
              </w:rPr>
              <w:t>SRS Item</w:t>
            </w:r>
          </w:p>
        </w:tc>
        <w:tc>
          <w:tcPr>
            <w:tcW w:w="1300" w:type="pct"/>
          </w:tcPr>
          <w:p>
            <w:r>
              <w:rPr>
                <w:b/>
              </w:rPr>
              <w:t>SSS document</w:t>
            </w:r>
          </w:p>
        </w:tc>
        <w:tc>
          <w:tcPr>
            <w:tcW w:w="1850" w:type="pct"/>
          </w:tcPr>
          <w:p>
            <w:r>
              <w:rPr>
                <w:b/>
              </w:rPr>
              <w:t>SSS Item</w:t>
            </w:r>
          </w:p>
        </w:tc>
      </w:tr>
      <w:tr>
        <w:tc>
          <w:tcPr>
					</w:tcPr>
          <w:p>
            <w:r>
              <w:t>GE R-00010</w:t>
            </w:r>
          </w:p>
        </w:tc>
        <w:tc>
          <w:tcPr>
					</w:tcPr>
          <w:p>
            <w:r>
              <w:t>SOL-EST-RCD-0050</w:t>
            </w:r>
          </w:p>
        </w:tc>
        <w:tc>
          <w:tcPr>
					</w:tcPr>
          <w:p>
            <w:r>
              <w:t>R-406</w:t>
            </w:r>
          </w:p>
        </w:tc>
      </w:tr>
      <w:tr>
        <w:tc>
          <w:tcPr>
					</w:tcPr>
          <w:p>
            <w:r>
              <w:t>GE R-00030</w:t>
            </w:r>
          </w:p>
        </w:tc>
        <w:tc>
          <w:tcPr>
					</w:tcPr>
          <w:p>
            <w:r>
              <w:t>SOL-EST-RCD-0050</w:t>
            </w:r>
          </w:p>
        </w:tc>
        <w:tc>
          <w:tcPr>
					</w:tcPr>
          <w:p>
            <w:r>
              <w:t>R-180</w:t>
            </w:r>
          </w:p>
        </w:tc>
      </w:tr>
      <w:tr>
        <w:tc>
          <w:tcPr>
            <w:vMerge w:val="restart"/>
          </w:tcPr>
          <w:p>
            <w:r>
              <w:t>FU R-00180</w:t>
            </w:r>
          </w:p>
        </w:tc>
        <w:tc>
          <w:tcPr>
					</w:tcPr>
          <w:p>
            <w:r>
              <w:t>SOL-ESC-RS-05001</w:t>
            </w:r>
          </w:p>
        </w:tc>
        <w:tc>
          <w:tcPr>
					</w:tcPr>
          <w:p>
            <w:r>
              <w:t>TM-4</w:t>
            </w:r>
          </w:p>
        </w:tc>
      </w:tr>
      <w:tr>
        <w:tc>
          <w:tcPr>
            <w:vMerge w:val="continue"/>
            <w:p/>
          </w:tcPr>
        </w:tc>
        <w:tc>
          <w:tcPr>
					</w:tcPr>
          <w:p>
            <w:r>
              <w:t>SOL-EST-RCD-0050</w:t>
            </w:r>
          </w:p>
        </w:tc>
        <w:tc>
          <w:tcPr>
					</w:tcPr>
          <w:p>
            <w:r>
              <w:t>R-366</w:t>
            </w:r>
          </w:p>
        </w:tc>
      </w:tr>
      <w:tr>
        <w:tc>
          <w:tcPr>
            <w:vMerge w:val="restart"/>
          </w:tcPr>
          <w:p>
            <w:r>
              <w:t>FU R-00390</w:t>
            </w:r>
          </w:p>
        </w:tc>
        <w:tc>
          <w:tcPr>
					</w:tcPr>
          <w:p>
            <w:r>
              <w:t>SOL-ESC-RS-05001</w:t>
            </w:r>
          </w:p>
        </w:tc>
        <w:tc>
          <w:tcPr>
					</w:tcPr>
          <w:p>
            <w:r>
              <w:t>FTS-1</w:t>
            </w:r>
          </w:p>
        </w:tc>
      </w:tr>
      <w:tr>
        <w:tc>
          <w:tcPr>
            <w:vMerge w:val="continue"/>
            <w:p/>
          </w:tcPr>
        </w:tc>
        <w:tc>
          <w:tcPr>
					</w:tcPr>
          <w:p>
            <w:r>
              <w:t>SOL-ESC-RS-05001</w:t>
            </w:r>
          </w:p>
        </w:tc>
        <w:tc>
          <w:tcPr>
					</w:tcPr>
          <w:p>
            <w:r>
              <w:t>FTS-2</w:t>
            </w:r>
          </w:p>
        </w:tc>
      </w:tr>
      <w:tr>
        <w:tc>
          <w:tcPr>
					</w:tcPr>
          <w:p>
            <w:r>
              <w:t>FU R-00370</w:t>
            </w:r>
          </w:p>
        </w:tc>
        <w:tc>
          <w:tcPr>
					</w:tcPr>
          <w:p>
            <w:r>
              <w:t>SOL-ESC-RS-05001</w:t>
            </w:r>
          </w:p>
        </w:tc>
        <w:tc>
          <w:tcPr>
					</w:tcPr>
          <w:p>
            <w:r>
              <w:t>PERP-7</w:t>
            </w:r>
          </w:p>
        </w:tc>
      </w:tr>
      <w:tr>
        <w:tc>
          <w:tcPr>
					</w:tcPr>
          <w:p>
            <w:r>
              <w:t>FU R-00380</w:t>
            </w:r>
          </w:p>
        </w:tc>
        <w:tc>
          <w:tcPr>
					</w:tcPr>
          <w:p>
            <w:r>
              <w:t>SOL-ESC-RS-05001</w:t>
            </w:r>
          </w:p>
        </w:tc>
        <w:tc>
          <w:tcPr>
					</w:tcPr>
          <w:p>
            <w:r>
              <w:t>PERP-12</w:t>
            </w:r>
          </w:p>
        </w:tc>
      </w:tr>
      <w:tr>
        <w:tc>
          <w:tcPr>
            <w:vMerge w:val="restart"/>
          </w:tcPr>
          <w:p>
            <w:r>
              <w:t>IF R-00150</w:t>
            </w:r>
          </w:p>
        </w:tc>
        <w:tc>
          <w:tcPr>
					</w:tcPr>
          <w:p>
            <w:r>
              <w:t>SOL-ESC-RS-05001</w:t>
            </w:r>
          </w:p>
        </w:tc>
        <w:tc>
          <w:tcPr>
					</w:tcPr>
          <w:p>
            <w:r>
              <w:t>TCV-1</w:t>
            </w:r>
          </w:p>
        </w:tc>
      </w:tr>
      <w:tr>
        <w:tc>
          <w:tcPr>
            <w:vMerge w:val="continue"/>
            <w:p/>
          </w:tcPr>
        </w:tc>
        <w:tc>
          <w:tcPr>
					</w:tcPr>
          <w:p>
            <w:r>
              <w:t>SOL-ESC-RS-05001</w:t>
            </w:r>
          </w:p>
        </w:tc>
        <w:tc>
          <w:tcPr>
					</w:tcPr>
          <w:p>
            <w:r>
              <w:t>TCV-2</w:t>
            </w:r>
          </w:p>
        </w:tc>
      </w:tr>
      <w:tr>
        <w:tc>
          <w:tcPr>
            <w:vMerge w:val="continue"/>
            <w:p/>
          </w:tcPr>
        </w:tc>
        <w:tc>
          <w:tcPr>
					</w:tcPr>
          <w:p>
            <w:r>
              <w:t>SOL-ESC-RS-05001</w:t>
            </w:r>
          </w:p>
        </w:tc>
        <w:tc>
          <w:tcPr>
					</w:tcPr>
          <w:p>
            <w:r>
              <w:t>TCV-3</w:t>
            </w:r>
          </w:p>
        </w:tc>
      </w:tr>
      <w:tr>
        <w:tc>
          <w:tcPr>
            <w:vMerge w:val="continue"/>
            <w:p/>
          </w:tcPr>
        </w:tc>
        <w:tc>
          <w:tcPr>
					</w:tcPr>
          <w:p>
            <w:r>
              <w:t>SOL-ESC-RS-05001</w:t>
            </w:r>
          </w:p>
        </w:tc>
        <w:tc>
          <w:tcPr>
					</w:tcPr>
          <w:p>
            <w:r>
              <w:t>TCV-4</w:t>
            </w:r>
          </w:p>
        </w:tc>
      </w:tr>
      <w:tr>
        <w:tc>
          <w:tcPr>
            <w:vMerge w:val="continue"/>
            <w:p/>
          </w:tcPr>
        </w:tc>
        <w:tc>
          <w:tcPr>
					</w:tcPr>
          <w:p>
            <w:r>
              <w:t>SOL-ESC-RS-05001</w:t>
            </w:r>
          </w:p>
        </w:tc>
        <w:tc>
          <w:tcPr>
					</w:tcPr>
          <w:p>
            <w:r>
              <w:t>TCV-5</w:t>
            </w:r>
          </w:p>
        </w:tc>
      </w:tr>
      <w:tr>
        <w:tc>
          <w:tcPr>
            <w:vMerge w:val="continue"/>
            <w:p/>
          </w:tcPr>
        </w:tc>
        <w:tc>
          <w:tcPr>
					</w:tcPr>
          <w:p>
            <w:r>
              <w:t>SOL-ESC-RS-05001</w:t>
            </w:r>
          </w:p>
        </w:tc>
        <w:tc>
          <w:tcPr>
					</w:tcPr>
          <w:p>
            <w:r>
              <w:t>TCV-6</w:t>
            </w:r>
          </w:p>
        </w:tc>
      </w:tr>
      <w:tr>
        <w:tc>
          <w:tcPr>
            <w:vMerge w:val="continue"/>
            <w:p/>
          </w:tcPr>
        </w:tc>
        <w:tc>
          <w:tcPr>
					</w:tcPr>
          <w:p>
            <w:r>
              <w:t>SOL-ESC-RS-05001</w:t>
            </w:r>
          </w:p>
        </w:tc>
        <w:tc>
          <w:tcPr>
					</w:tcPr>
          <w:p>
            <w:r>
              <w:t>TCV-7</w:t>
            </w:r>
          </w:p>
        </w:tc>
      </w:tr>
      <w:tr>
        <w:tc>
          <w:tcPr>
            <w:vMerge w:val="restart"/>
          </w:tcPr>
          <w:p>
            <w:r>
              <w:t>IF R-00160</w:t>
            </w:r>
          </w:p>
        </w:tc>
        <w:tc>
          <w:tcPr>
					</w:tcPr>
          <w:p>
            <w:r>
              <w:t>SOL-ESC-RS-05001</w:t>
            </w:r>
          </w:p>
        </w:tc>
        <w:tc>
          <w:tcPr>
					</w:tcPr>
          <w:p>
            <w:r>
              <w:t>PERP-1</w:t>
            </w:r>
          </w:p>
        </w:tc>
      </w:tr>
      <w:tr>
        <w:tc>
          <w:tcPr>
            <w:vMerge w:val="continue"/>
            <w:p/>
          </w:tcPr>
        </w:tc>
        <w:tc>
          <w:tcPr>
					</w:tcPr>
          <w:p>
            <w:r>
              <w:t>SOL-ESC-RS-05001</w:t>
            </w:r>
          </w:p>
        </w:tc>
        <w:tc>
          <w:tcPr>
					</w:tcPr>
          <w:p>
            <w:r>
              <w:t>PERP-2</w:t>
            </w:r>
          </w:p>
        </w:tc>
      </w:tr>
      <w:tr>
        <w:tc>
          <w:tcPr>
            <w:vMerge w:val="continue"/>
            <w:p/>
          </w:tcPr>
        </w:tc>
        <w:tc>
          <w:tcPr>
					</w:tcPr>
          <w:p>
            <w:r>
              <w:t>SOL-ESC-RS-05001</w:t>
            </w:r>
          </w:p>
        </w:tc>
        <w:tc>
          <w:tcPr>
					</w:tcPr>
          <w:p>
            <w:r>
              <w:t>PERP-3</w:t>
            </w:r>
          </w:p>
        </w:tc>
      </w:tr>
      <w:tr>
        <w:tc>
          <w:tcPr>
            <w:vMerge w:val="restart"/>
          </w:tcPr>
          <w:p>
            <w:r>
              <w:t>IF R-00170</w:t>
            </w:r>
          </w:p>
        </w:tc>
        <w:tc>
          <w:tcPr>
					</w:tcPr>
          <w:p>
            <w:r>
              <w:t>SOL-ESC-RS-05001</w:t>
            </w:r>
          </w:p>
        </w:tc>
        <w:tc>
          <w:tcPr>
					</w:tcPr>
          <w:p>
            <w:r>
              <w:t>EVRP-2</w:t>
            </w:r>
          </w:p>
        </w:tc>
      </w:tr>
      <w:tr>
        <w:tc>
          <w:tcPr>
            <w:vMerge w:val="continue"/>
            <w:p/>
          </w:tcPr>
        </w:tc>
        <w:tc>
          <w:tcPr>
					</w:tcPr>
          <w:p>
            <w:r>
              <w:t>SOL-ESC-RS-05001</w:t>
            </w:r>
          </w:p>
        </w:tc>
        <w:tc>
          <w:tcPr>
					</w:tcPr>
          <w:p>
            <w:r>
              <w:t>EVRP-3</w:t>
            </w:r>
          </w:p>
        </w:tc>
      </w:tr>
      <w:tr>
        <w:tc>
          <w:tcPr>
            <w:vMerge w:val="continue"/>
            <w:p/>
          </w:tcPr>
        </w:tc>
        <w:tc>
          <w:tcPr>
					</w:tcPr>
          <w:p>
            <w:r>
              <w:t>SOL-ESC-RS-05001</w:t>
            </w:r>
          </w:p>
        </w:tc>
        <w:tc>
          <w:tcPr>
					</w:tcPr>
          <w:p>
            <w:r>
              <w:t>EVRP-4</w:t>
            </w:r>
          </w:p>
        </w:tc>
      </w:tr>
      <w:tr>
        <w:tc>
          <w:tcPr>
            <w:vMerge w:val="continue"/>
            <w:p/>
          </w:tcPr>
        </w:tc>
        <w:tc>
          <w:tcPr>
					</w:tcPr>
          <w:p>
            <w:r>
              <w:t>SOL-ESC-RS-05001</w:t>
            </w:r>
          </w:p>
        </w:tc>
        <w:tc>
          <w:tcPr>
					</w:tcPr>
          <w:p>
            <w:r>
              <w:t>EVRP-5</w:t>
            </w:r>
          </w:p>
        </w:tc>
      </w:tr>
      <w:tr>
        <w:tc>
          <w:tcPr>
            <w:vMerge w:val="continue"/>
            <w:p/>
          </w:tcPr>
        </w:tc>
        <w:tc>
          <w:tcPr>
					</w:tcPr>
          <w:p>
            <w:r>
              <w:t>SOL-ESC-RS-05001</w:t>
            </w:r>
          </w:p>
        </w:tc>
        <w:tc>
          <w:tcPr>
					</w:tcPr>
          <w:p>
            <w:r>
              <w:t>EVRP-6</w:t>
            </w:r>
          </w:p>
        </w:tc>
      </w:tr>
      <w:tr>
        <w:tc>
          <w:tcPr>
            <w:vMerge w:val="continue"/>
            <w:p/>
          </w:tcPr>
        </w:tc>
        <w:tc>
          <w:tcPr>
					</w:tcPr>
          <w:p>
            <w:r>
              <w:t>SOL-ESC-RS-05001</w:t>
            </w:r>
          </w:p>
        </w:tc>
        <w:tc>
          <w:tcPr>
					</w:tcPr>
          <w:p>
            <w:r>
              <w:t>EVRP-7</w:t>
            </w:r>
          </w:p>
        </w:tc>
      </w:tr>
      <w:tr>
        <w:tc>
          <w:tcPr>
					</w:tcPr>
          <w:p>
            <w:r>
              <w:t>IF R-00180</w:t>
            </w:r>
          </w:p>
        </w:tc>
        <w:tc>
          <w:tcPr>
					</w:tcPr>
          <w:p>
            <w:r>
              <w:t>SOL-ESC-RS-05001</w:t>
            </w:r>
          </w:p>
        </w:tc>
        <w:tc>
          <w:tcPr>
					</w:tcPr>
          <w:p>
            <w:r>
              <w:t>EVRP-1</w:t>
            </w:r>
          </w:p>
        </w:tc>
      </w:tr>
      <w:tr>
        <w:tc>
          <w:tcPr>
					</w:tcPr>
          <w:p>
            <w:r>
              <w:t>IF R-00390</w:t>
            </w:r>
          </w:p>
        </w:tc>
        <w:tc>
          <w:tcPr>
					</w:tcPr>
          <w:p>
            <w:r>
              <w:t>SOL-EST-RCD-0050</w:t>
            </w:r>
          </w:p>
        </w:tc>
        <w:tc>
          <w:tcPr>
					</w:tcPr>
          <w:p>
            <w:r>
              <w:t>R-261</w:t>
            </w:r>
          </w:p>
        </w:tc>
      </w:tr>
      <w:tr>
        <w:tc>
          <w:tcPr>
            <w:vMerge w:val="restart"/>
          </w:tcPr>
          <w:p>
            <w:r>
              <w:t>RE R-00070</w:t>
            </w:r>
          </w:p>
        </w:tc>
        <w:tc>
          <w:tcPr>
					</w:tcPr>
          <w:p>
            <w:r>
              <w:t>SOL-EST-RCD-0050</w:t>
            </w:r>
          </w:p>
        </w:tc>
        <w:tc>
          <w:tcPr>
					</w:tcPr>
          <w:p>
            <w:r>
              <w:t>R-264</w:t>
            </w:r>
          </w:p>
        </w:tc>
      </w:tr>
      <w:tr>
        <w:tc>
          <w:tcPr>
            <w:vMerge w:val="continue"/>
            <w:p/>
          </w:tcPr>
        </w:tc>
        <w:tc>
          <w:tcPr>
					</w:tcPr>
          <w:p>
            <w:r>
              <w:t>SOL-ESC-RS-05001</w:t>
            </w:r>
          </w:p>
        </w:tc>
        <w:tc>
          <w:tcPr>
					</w:tcPr>
          <w:p>
            <w:r>
              <w:t>FDIR-14</w:t>
            </w:r>
          </w:p>
        </w:tc>
      </w:tr>
      <w:tr>
        <w:tc>
          <w:tcPr>
            <w:vMerge w:val="continue"/>
            <w:p/>
          </w:tcPr>
        </w:tc>
        <w:tc>
          <w:tcPr>
					</w:tcPr>
          <w:p>
            <w:r>
              <w:t>SOL-EST-RCD-0050</w:t>
            </w:r>
          </w:p>
        </w:tc>
        <w:tc>
          <w:tcPr>
					</w:tcPr>
          <w:p>
            <w:r>
              <w:t>R-407</w:t>
            </w:r>
          </w:p>
        </w:tc>
      </w:tr>
      <w:tr>
        <w:tc>
          <w:tcPr>
            <w:vMerge w:val="continue"/>
            <w:p/>
          </w:tcPr>
        </w:tc>
        <w:tc>
          <w:tcPr>
					</w:tcPr>
          <w:p>
            <w:r>
              <w:t>SOL-ESC-RS-05001</w:t>
            </w:r>
          </w:p>
        </w:tc>
        <w:tc>
          <w:tcPr>
					</w:tcPr>
          <w:p>
            <w:r>
              <w:t>EVRP-6</w:t>
            </w:r>
          </w:p>
        </w:tc>
      </w:tr>
      <w:tr>
        <w:tc>
          <w:tcPr>
					</w:tcPr>
          <w:p>
            <w:r>
              <w:t>DI R-00030</w:t>
            </w:r>
          </w:p>
        </w:tc>
        <w:tc>
          <w:tcPr>
					</w:tcPr>
          <w:p>
            <w:r>
              <w:t>SOL-EST-RCD-0050</w:t>
            </w:r>
          </w:p>
        </w:tc>
        <w:tc>
          <w:tcPr>
					</w:tcPr>
          <w:p>
            <w:r>
              <w:t>R-366</w:t>
            </w:r>
          </w:p>
        </w:tc>
      </w:tr>
    </w:tbl>
    <w:p>
      <w:pPr>
        <w:pStyle w:val="Heading2"/>
      </w:pPr>
      <w:r>
        <w:t>Inverse Traceability Matrix</w:t>
      </w:r>
    </w:p>
    <w:tbl>
      <w:tblPr>
        <w:tblW w:w="5000" w:type="pct"/>
        <w:tblStyle w:val="TableGridFirstRowShadow"/>
      </w:tblPr>
      <w:tr>
        <w:tc>
          <w:tcPr>
            <w:tcW w:w="1850" w:type="pct"/>
          </w:tcPr>
          <w:p>
            <w:r>
              <w:rPr>
                <w:b/>
              </w:rPr>
              <w:t>SSS Item</w:t>
            </w:r>
          </w:p>
        </w:tc>
        <w:tc>
          <w:tcPr>
            <w:tcW w:w="1300" w:type="pct"/>
          </w:tcPr>
          <w:p>
            <w:r>
              <w:rPr>
                <w:b/>
              </w:rPr>
              <w:t>SSS document</w:t>
            </w:r>
          </w:p>
        </w:tc>
        <w:tc>
          <w:tcPr>
            <w:tcW w:w="1850" w:type="pct"/>
          </w:tcPr>
          <w:p>
            <w:r>
              <w:rPr>
                <w:b/>
              </w:rPr>
              <w:t>SRS Item</w:t>
            </w:r>
          </w:p>
        </w:tc>
      </w:tr>
      <w:tr>
        <w:tc>
          <w:tcPr>
					</w:tcPr>
          <w:p>
            <w:r>
              <w:t>R-180</w:t>
            </w:r>
          </w:p>
        </w:tc>
        <w:tc>
          <w:tcPr>
					</w:tcPr>
          <w:p>
            <w:r>
              <w:t>SOL-EST-RCD-0050</w:t>
            </w:r>
          </w:p>
        </w:tc>
        <w:tc>
          <w:tcPr>
					</w:tcPr>
          <w:p>
            <w:r>
              <w:t>GE R-00030</w:t>
            </w:r>
          </w:p>
        </w:tc>
      </w:tr>
      <w:tr>
        <w:tc>
          <w:tcPr>
            <w:vMerge w:val="restart"/>
          </w:tcPr>
          <w:p>
            <w:r>
              <w:t>R-366</w:t>
            </w:r>
          </w:p>
        </w:tc>
        <w:tc>
          <w:tcPr>
            <w:vMerge w:val="restart"/>
          </w:tcPr>
          <w:p>
            <w:r>
              <w:t>SOL-EST-RCD-0050</w:t>
            </w:r>
          </w:p>
        </w:tc>
        <w:tc>
          <w:tcPr>
					</w:tcPr>
          <w:p>
            <w:r>
              <w:t>FU R-00180</w:t>
            </w:r>
          </w:p>
        </w:tc>
      </w:tr>
      <w:tr>
        <w:tc>
          <w:tcPr>
            <w:vMerge w:val="continue"/>
            <w:p/>
          </w:tcPr>
        </w:tc>
        <w:tc>
          <w:tcPr>
            <w:vMerge w:val="continue"/>
            <w:p/>
          </w:tcPr>
        </w:tc>
        <w:tc>
          <w:tcPr>
					</w:tcPr>
          <w:p>
            <w:r>
              <w:t>DI R-00030</w:t>
            </w:r>
          </w:p>
        </w:tc>
      </w:tr>
      <w:tr>
        <w:tc>
          <w:tcPr>
					</w:tcPr>
          <w:p>
            <w:r>
              <w:t>R-407</w:t>
            </w:r>
          </w:p>
        </w:tc>
        <w:tc>
          <w:tcPr>
					</w:tcPr>
          <w:p>
            <w:r>
              <w:t>SOL-EST-RCD-0050</w:t>
            </w:r>
          </w:p>
        </w:tc>
        <w:tc>
          <w:tcPr>
					</w:tcPr>
          <w:p>
            <w:r>
              <w:t>RE R-00070</w:t>
            </w:r>
          </w:p>
        </w:tc>
      </w:tr>
      <w:tr>
        <w:tc>
          <w:tcPr>
					</w:tcPr>
          <w:p>
            <w:r>
              <w:t>R-261</w:t>
            </w:r>
          </w:p>
        </w:tc>
        <w:tc>
          <w:tcPr>
					</w:tcPr>
          <w:p>
            <w:r>
              <w:t>SOL-EST-RCD-0050</w:t>
            </w:r>
          </w:p>
        </w:tc>
        <w:tc>
          <w:tcPr>
					</w:tcPr>
          <w:p>
            <w:r>
              <w:t>IF R-00390</w:t>
            </w:r>
          </w:p>
        </w:tc>
      </w:tr>
      <w:tr>
        <w:tc>
          <w:tcPr>
					</w:tcPr>
          <w:p>
            <w:r>
              <w:t>R-264</w:t>
            </w:r>
          </w:p>
        </w:tc>
        <w:tc>
          <w:tcPr>
					</w:tcPr>
          <w:p>
            <w:r>
              <w:t>SOL-EST-RCD-0050</w:t>
            </w:r>
          </w:p>
        </w:tc>
        <w:tc>
          <w:tcPr>
					</w:tcPr>
          <w:p>
            <w:r>
              <w:t>RE R-00070</w:t>
            </w:r>
          </w:p>
        </w:tc>
      </w:tr>
      <w:tr>
        <w:tc>
          <w:tcPr>
					</w:tcPr>
          <w:p>
            <w:r>
              <w:t>R-406</w:t>
            </w:r>
          </w:p>
        </w:tc>
        <w:tc>
          <w:tcPr>
					</w:tcPr>
          <w:p>
            <w:r>
              <w:t>SOL-EST-RCD-0050</w:t>
            </w:r>
          </w:p>
        </w:tc>
        <w:tc>
          <w:tcPr>
					</w:tcPr>
          <w:p>
            <w:r>
              <w:t>GE R-00010</w:t>
            </w:r>
          </w:p>
        </w:tc>
      </w:tr>
      <w:tr>
        <w:tc>
          <w:tcPr>
					</w:tcPr>
          <w:p>
            <w:r>
              <w:t>TM-4</w:t>
            </w:r>
          </w:p>
        </w:tc>
        <w:tc>
          <w:tcPr>
					</w:tcPr>
          <w:p>
            <w:r>
              <w:t>SOL-ESC-RS-05001</w:t>
            </w:r>
          </w:p>
        </w:tc>
        <w:tc>
          <w:tcPr>
					</w:tcPr>
          <w:p>
            <w:r>
              <w:t>FU R-00180</w:t>
            </w:r>
          </w:p>
        </w:tc>
      </w:tr>
      <w:tr>
        <w:tc>
          <w:tcPr>
					</w:tcPr>
          <w:p>
            <w:r>
              <w:t>FDIR-14</w:t>
            </w:r>
          </w:p>
        </w:tc>
        <w:tc>
          <w:tcPr>
					</w:tcPr>
          <w:p>
            <w:r>
              <w:t>SOL-ESC-RS-05001</w:t>
            </w:r>
          </w:p>
        </w:tc>
        <w:tc>
          <w:tcPr>
					</w:tcPr>
          <w:p>
            <w:r>
              <w:t>RE R-00070</w:t>
            </w:r>
          </w:p>
        </w:tc>
      </w:tr>
      <w:tr>
        <w:tc>
          <w:tcPr>
					</w:tcPr>
          <w:p>
            <w:r>
              <w:t>TCV-1</w:t>
            </w:r>
          </w:p>
        </w:tc>
        <w:tc>
          <w:tcPr>
					</w:tcPr>
          <w:p>
            <w:r>
              <w:t>SOL-ESC-RS-05001</w:t>
            </w:r>
          </w:p>
        </w:tc>
        <w:tc>
          <w:tcPr>
					</w:tcPr>
          <w:p>
            <w:r>
              <w:t>IF R-00150</w:t>
            </w:r>
          </w:p>
        </w:tc>
      </w:tr>
      <w:tr>
        <w:tc>
          <w:tcPr>
					</w:tcPr>
          <w:p>
            <w:r>
              <w:t>TCV-2</w:t>
            </w:r>
          </w:p>
        </w:tc>
        <w:tc>
          <w:tcPr>
					</w:tcPr>
          <w:p>
            <w:r>
              <w:t>SOL-ESC-RS-05001</w:t>
            </w:r>
          </w:p>
        </w:tc>
        <w:tc>
          <w:tcPr>
					</w:tcPr>
          <w:p>
            <w:r>
              <w:t>IF R-00150</w:t>
            </w:r>
          </w:p>
        </w:tc>
      </w:tr>
      <w:tr>
        <w:tc>
          <w:tcPr>
					</w:tcPr>
          <w:p>
            <w:r>
              <w:t>TCV-3</w:t>
            </w:r>
          </w:p>
        </w:tc>
        <w:tc>
          <w:tcPr>
					</w:tcPr>
          <w:p>
            <w:r>
              <w:t>SOL-ESC-RS-05001</w:t>
            </w:r>
          </w:p>
        </w:tc>
        <w:tc>
          <w:tcPr>
					</w:tcPr>
          <w:p>
            <w:r>
              <w:t>IF R-00150</w:t>
            </w:r>
          </w:p>
        </w:tc>
      </w:tr>
      <w:tr>
        <w:tc>
          <w:tcPr>
					</w:tcPr>
          <w:p>
            <w:r>
              <w:t>TCV-4</w:t>
            </w:r>
          </w:p>
        </w:tc>
        <w:tc>
          <w:tcPr>
					</w:tcPr>
          <w:p>
            <w:r>
              <w:t>SOL-ESC-RS-05001</w:t>
            </w:r>
          </w:p>
        </w:tc>
        <w:tc>
          <w:tcPr>
					</w:tcPr>
          <w:p>
            <w:r>
              <w:t>IF R-00150</w:t>
            </w:r>
          </w:p>
        </w:tc>
      </w:tr>
      <w:tr>
        <w:tc>
          <w:tcPr>
					</w:tcPr>
          <w:p>
            <w:r>
              <w:t>TCV-5</w:t>
            </w:r>
          </w:p>
        </w:tc>
        <w:tc>
          <w:tcPr>
					</w:tcPr>
          <w:p>
            <w:r>
              <w:t>SOL-ESC-RS-05001</w:t>
            </w:r>
          </w:p>
        </w:tc>
        <w:tc>
          <w:tcPr>
					</w:tcPr>
          <w:p>
            <w:r>
              <w:t>IF R-00150</w:t>
            </w:r>
          </w:p>
        </w:tc>
      </w:tr>
      <w:tr>
        <w:tc>
          <w:tcPr>
					</w:tcPr>
          <w:p>
            <w:r>
              <w:t>TCV-6</w:t>
            </w:r>
          </w:p>
        </w:tc>
        <w:tc>
          <w:tcPr>
					</w:tcPr>
          <w:p>
            <w:r>
              <w:t>SOL-ESC-RS-05001</w:t>
            </w:r>
          </w:p>
        </w:tc>
        <w:tc>
          <w:tcPr>
					</w:tcPr>
          <w:p>
            <w:r>
              <w:t>IF R-00150</w:t>
            </w:r>
          </w:p>
        </w:tc>
      </w:tr>
      <w:tr>
        <w:tc>
          <w:tcPr>
					</w:tcPr>
          <w:p>
            <w:r>
              <w:t>TCV-7</w:t>
            </w:r>
          </w:p>
        </w:tc>
        <w:tc>
          <w:tcPr>
					</w:tcPr>
          <w:p>
            <w:r>
              <w:t>SOL-ESC-RS-05001</w:t>
            </w:r>
          </w:p>
        </w:tc>
        <w:tc>
          <w:tcPr>
					</w:tcPr>
          <w:p>
            <w:r>
              <w:t>IF R-00150</w:t>
            </w:r>
          </w:p>
        </w:tc>
      </w:tr>
      <w:tr>
        <w:tc>
          <w:tcPr>
					</w:tcPr>
          <w:p>
            <w:r>
              <w:t>PERP-1</w:t>
            </w:r>
          </w:p>
        </w:tc>
        <w:tc>
          <w:tcPr>
					</w:tcPr>
          <w:p>
            <w:r>
              <w:t>SOL-ESC-RS-05001</w:t>
            </w:r>
          </w:p>
        </w:tc>
        <w:tc>
          <w:tcPr>
					</w:tcPr>
          <w:p>
            <w:r>
              <w:t>IF R-00160</w:t>
            </w:r>
          </w:p>
        </w:tc>
      </w:tr>
      <w:tr>
        <w:tc>
          <w:tcPr>
					</w:tcPr>
          <w:p>
            <w:r>
              <w:t>PERP-2</w:t>
            </w:r>
          </w:p>
        </w:tc>
        <w:tc>
          <w:tcPr>
					</w:tcPr>
          <w:p>
            <w:r>
              <w:t>SOL-ESC-RS-05001</w:t>
            </w:r>
          </w:p>
        </w:tc>
        <w:tc>
          <w:tcPr>
					</w:tcPr>
          <w:p>
            <w:r>
              <w:t>IF R-00160</w:t>
            </w:r>
          </w:p>
        </w:tc>
      </w:tr>
      <w:tr>
        <w:tc>
          <w:tcPr>
					</w:tcPr>
          <w:p>
            <w:r>
              <w:t>PERP-3</w:t>
            </w:r>
          </w:p>
        </w:tc>
        <w:tc>
          <w:tcPr>
					</w:tcPr>
          <w:p>
            <w:r>
              <w:t>SOL-ESC-RS-05001</w:t>
            </w:r>
          </w:p>
        </w:tc>
        <w:tc>
          <w:tcPr>
					</w:tcPr>
          <w:p>
            <w:r>
              <w:t>IF R-00160</w:t>
            </w:r>
          </w:p>
        </w:tc>
      </w:tr>
      <w:tr>
        <w:tc>
          <w:tcPr>
					</w:tcPr>
          <w:p>
            <w:r>
              <w:t>PERP-7</w:t>
            </w:r>
          </w:p>
        </w:tc>
        <w:tc>
          <w:tcPr>
					</w:tcPr>
          <w:p>
            <w:r>
              <w:t>SOL-ESC-RS-05001</w:t>
            </w:r>
          </w:p>
        </w:tc>
        <w:tc>
          <w:tcPr>
					</w:tcPr>
          <w:p>
            <w:r>
              <w:t>FU R-00370</w:t>
            </w:r>
          </w:p>
        </w:tc>
      </w:tr>
      <w:tr>
        <w:tc>
          <w:tcPr>
					</w:tcPr>
          <w:p>
            <w:r>
              <w:t>PERP-12</w:t>
            </w:r>
          </w:p>
        </w:tc>
        <w:tc>
          <w:tcPr>
					</w:tcPr>
          <w:p>
            <w:r>
              <w:t>SOL-ESC-RS-05001</w:t>
            </w:r>
          </w:p>
        </w:tc>
        <w:tc>
          <w:tcPr>
					</w:tcPr>
          <w:p>
            <w:r>
              <w:t>FU R-00380</w:t>
            </w:r>
          </w:p>
        </w:tc>
      </w:tr>
      <w:tr>
        <w:tc>
          <w:tcPr>
					</w:tcPr>
          <w:p>
            <w:r>
              <w:t>EVRP-1</w:t>
            </w:r>
          </w:p>
        </w:tc>
        <w:tc>
          <w:tcPr>
					</w:tcPr>
          <w:p>
            <w:r>
              <w:t>SOL-ESC-RS-05001</w:t>
            </w:r>
          </w:p>
        </w:tc>
        <w:tc>
          <w:tcPr>
					</w:tcPr>
          <w:p>
            <w:r>
              <w:t>IF R-00180</w:t>
            </w:r>
          </w:p>
        </w:tc>
      </w:tr>
      <w:tr>
        <w:tc>
          <w:tcPr>
					</w:tcPr>
          <w:p>
            <w:r>
              <w:t>EVRP-2</w:t>
            </w:r>
          </w:p>
        </w:tc>
        <w:tc>
          <w:tcPr>
					</w:tcPr>
          <w:p>
            <w:r>
              <w:t>SOL-ESC-RS-05001</w:t>
            </w:r>
          </w:p>
        </w:tc>
        <w:tc>
          <w:tcPr>
					</w:tcPr>
          <w:p>
            <w:r>
              <w:t>IF R-00170</w:t>
            </w:r>
          </w:p>
        </w:tc>
      </w:tr>
      <w:tr>
        <w:tc>
          <w:tcPr>
					</w:tcPr>
          <w:p>
            <w:r>
              <w:t>EVRP-3</w:t>
            </w:r>
          </w:p>
        </w:tc>
        <w:tc>
          <w:tcPr>
					</w:tcPr>
          <w:p>
            <w:r>
              <w:t>SOL-ESC-RS-05001</w:t>
            </w:r>
          </w:p>
        </w:tc>
        <w:tc>
          <w:tcPr>
					</w:tcPr>
          <w:p>
            <w:r>
              <w:t>IF R-00170</w:t>
            </w:r>
          </w:p>
        </w:tc>
      </w:tr>
      <w:tr>
        <w:tc>
          <w:tcPr>
					</w:tcPr>
          <w:p>
            <w:r>
              <w:t>EVRP-4</w:t>
            </w:r>
          </w:p>
        </w:tc>
        <w:tc>
          <w:tcPr>
					</w:tcPr>
          <w:p>
            <w:r>
              <w:t>SOL-ESC-RS-05001</w:t>
            </w:r>
          </w:p>
        </w:tc>
        <w:tc>
          <w:tcPr>
					</w:tcPr>
          <w:p>
            <w:r>
              <w:t>IF R-00170</w:t>
            </w:r>
          </w:p>
        </w:tc>
      </w:tr>
      <w:tr>
        <w:tc>
          <w:tcPr>
					</w:tcPr>
          <w:p>
            <w:r>
              <w:t>EVRP-5</w:t>
            </w:r>
          </w:p>
        </w:tc>
        <w:tc>
          <w:tcPr>
					</w:tcPr>
          <w:p>
            <w:r>
              <w:t>SOL-ESC-RS-05001</w:t>
            </w:r>
          </w:p>
        </w:tc>
        <w:tc>
          <w:tcPr>
					</w:tcPr>
          <w:p>
            <w:r>
              <w:t>IF R-00170</w:t>
            </w:r>
          </w:p>
        </w:tc>
      </w:tr>
      <w:tr>
        <w:tc>
          <w:tcPr>
            <w:vMerge w:val="restart"/>
          </w:tcPr>
          <w:p>
            <w:r>
              <w:t>EVRP-6</w:t>
            </w:r>
          </w:p>
        </w:tc>
        <w:tc>
          <w:tcPr>
            <w:vMerge w:val="restart"/>
          </w:tcPr>
          <w:p>
            <w:r>
              <w:t>SOL-ESC-RS-05001</w:t>
            </w:r>
          </w:p>
        </w:tc>
        <w:tc>
          <w:tcPr>
					</w:tcPr>
          <w:p>
            <w:r>
              <w:t>IF R-00170</w:t>
            </w:r>
          </w:p>
        </w:tc>
      </w:tr>
      <w:tr>
        <w:tc>
          <w:tcPr>
            <w:vMerge w:val="continue"/>
            <w:p/>
          </w:tcPr>
        </w:tc>
        <w:tc>
          <w:tcPr>
            <w:vMerge w:val="continue"/>
            <w:p/>
          </w:tcPr>
        </w:tc>
        <w:tc>
          <w:tcPr>
					</w:tcPr>
          <w:p>
            <w:r>
              <w:t>RE R-00070</w:t>
            </w:r>
          </w:p>
        </w:tc>
      </w:tr>
      <w:tr>
        <w:tc>
          <w:tcPr>
					</w:tcPr>
          <w:p>
            <w:r>
              <w:t>EVRP-7</w:t>
            </w:r>
          </w:p>
        </w:tc>
        <w:tc>
          <w:tcPr>
					</w:tcPr>
          <w:p>
            <w:r>
              <w:t>SOL-ESC-RS-05001</w:t>
            </w:r>
          </w:p>
        </w:tc>
        <w:tc>
          <w:tcPr>
					</w:tcPr>
          <w:p>
            <w:r>
              <w:t>IF R-00170</w:t>
            </w:r>
          </w:p>
        </w:tc>
      </w:tr>
      <w:tr>
        <w:tc>
          <w:tcPr>
					</w:tcPr>
          <w:p>
            <w:r>
              <w:t>FTS-1</w:t>
            </w:r>
          </w:p>
        </w:tc>
        <w:tc>
          <w:tcPr>
					</w:tcPr>
          <w:p>
            <w:r>
              <w:t>SOL-ESC-RS-05001</w:t>
            </w:r>
          </w:p>
        </w:tc>
        <w:tc>
          <w:tcPr>
					</w:tcPr>
          <w:p>
            <w:r>
              <w:t>FU R-00390</w:t>
            </w:r>
          </w:p>
        </w:tc>
      </w:tr>
      <w:tr>
        <w:tc>
          <w:tcPr>
					</w:tcPr>
          <w:p>
            <w:r>
              <w:t>FTS-2</w:t>
            </w:r>
          </w:p>
        </w:tc>
        <w:tc>
          <w:tcPr>
					</w:tcPr>
          <w:p>
            <w:r>
              <w:t>SOL-ESC-RS-05001</w:t>
            </w:r>
          </w:p>
        </w:tc>
        <w:tc>
          <w:tcPr>
					</w:tcPr>
          <w:p>
            <w:r>
              <w:t>FU R-00390</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