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Mâ‚¬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pStyle w:val="ADRD"/>
      </w:pPr>
      <w:bookmarkStart w:id="0" w:name="NR-27"/>
      <w:r>
        <w:t>NR-27</w:t>
      </w:r>
      <w:r>
        <w:rPr>
          <w:i/>
        </w:rPr>
        <w:tab/>
        <w:t>Solar Orbiter Operations Requirements Document</w:t>
      </w:r>
      <w:r>
        <w:t>. SO-ESC-RS-05001 issue 1 rev 8</w:t>
      </w:r>
      <w:bookmarkEnd w:id="0"/>
    </w:p>
    <w:p>
      <w:pPr>
        <w:pStyle w:val="ADRD"/>
      </w:pPr>
      <w:bookmarkStart w:id="1" w:name="NR-28"/>
      <w:r>
        <w:t>NR-28</w:t>
      </w:r>
      <w:r>
        <w:rPr>
          <w:i/>
        </w:rPr>
        <w:tab/>
        <w:t>Solar Orbiter TM/T- and Packet Structure ICD</w:t>
      </w:r>
      <w:r>
        <w:t>. SOL-S-ASTR-TN-0079 issue 7</w:t>
      </w:r>
      <w:bookmarkEnd w:id="1"/>
    </w:p>
    <w:p>
      <w:pPr>
        <w:pStyle w:val="Heading1"/>
      </w:pPr>
      <w:r>
        <w:t>Reference Documents</w:t>
      </w:r>
    </w:p>
    <w:p>
      <w:pPr>
        <w:pStyle w:val="ADRD"/>
      </w:pPr>
      <w:bookmarkStart w:id="2" w:name="IR-06"/>
      <w:r>
        <w:t>IR-06</w:t>
      </w:r>
      <w:r>
        <w:rPr>
          <w:i/>
        </w:rPr>
        <w:tab/>
        <w:t>Solar Orbiter Science Requirements Document</w:t>
      </w:r>
      <w:r>
        <w:t>. SOL-EST-RS-1858 issue 2 rev 0</w:t>
      </w:r>
      <w:bookmarkEnd w:id="2"/>
    </w:p>
    <w:p>
      <w:pPr>
        <w:pStyle w:val="Heading1"/>
      </w:pPr>
      <w:r>
        <w:t>Terms, Definitions and Abbreviations</w:t>
      </w:r>
    </w:p>
    <w:p>
      <w:pPr>
        <w:pStyle w:val="TDA"/>
      </w:pPr>
      <w:r>
        <w:t>EPD</w:t>
      </w:r>
      <w:r>
        <w:tab/>
        <w:t>Energetic Particle Detector</w:t>
      </w:r>
    </w:p>
    <w:p>
      <w:pPr>
        <w:pStyle w:val="TDA"/>
      </w:pPr>
      <w:r>
        <w:t>EPT</w:t>
      </w:r>
      <w:r>
        <w:tab/>
        <w:t>Electron and Proton Telescope</w:t>
      </w:r>
    </w:p>
    <w:p>
      <w:pPr>
        <w:pStyle w:val="TDA"/>
      </w:pPr>
      <w:r>
        <w:t>FFT</w:t>
      </w:r>
      <w:r>
        <w:tab/>
        <w:t>Full Functional Test</w:t>
      </w:r>
    </w:p>
    <w:p>
      <w:pPr>
        <w:pStyle w:val="TDA"/>
      </w:pPr>
      <w:r>
        <w:t>FM</w:t>
      </w:r>
      <w:r>
        <w:tab/>
        <w:t>Flight Model</w:t>
      </w:r>
    </w:p>
    <w:p>
      <w:pPr>
        <w:pStyle w:val="TDA"/>
      </w:pPr>
      <w:r>
        <w:t>GSE</w:t>
      </w:r>
      <w:r>
        <w:tab/>
        <w:t>Ground Support Equipment</w:t>
      </w:r>
    </w:p>
    <w:p>
      <w:pPr>
        <w:pStyle w:val="TDA"/>
      </w:pPr>
      <w:r>
        <w:t>HET</w:t>
      </w:r>
      <w:r>
        <w:tab/>
        <w:t>High Energy Telescope</w:t>
      </w:r>
    </w:p>
    <w:p>
      <w:pPr>
        <w:pStyle w:val="TDA"/>
      </w:pPr>
      <w:r>
        <w:t>LISN</w:t>
      </w:r>
      <w:r>
        <w:tab/>
        <w:t>Line Impedance Stabilization Network</w:t>
      </w:r>
    </w:p>
    <w:p>
      <w:pPr>
        <w:pStyle w:val="TDA"/>
      </w:pPr>
      <w:r>
        <w:t>QM</w:t>
      </w:r>
      <w:r>
        <w:tab/>
        <w:t>Qualification Model</w:t>
      </w:r>
    </w:p>
    <w:p>
      <w:pPr>
        <w:pStyle w:val="TDA"/>
      </w:pPr>
      <w:r>
        <w:t>S/C</w:t>
      </w:r>
      <w:r>
        <w:tab/>
        <w:t>Spacecraft</w:t>
      </w:r>
    </w:p>
    <w:p>
      <w:pPr>
        <w:pStyle w:val="TDA"/>
      </w:pPr>
      <w:r>
        <w:t>SpW</w:t>
      </w:r>
      <w:r>
        <w:tab/>
        <w:t>Space Wire</w:t>
      </w:r>
    </w:p>
    <w:p>
      <w:pPr>
        <w:pStyle w:val="TDA"/>
      </w:pPr>
      <w:r>
        <w:t>STEP</w:t>
      </w:r>
      <w:r>
        <w:tab/>
        <w:t>SupraThermal Electrons and Protons</w:t>
      </w:r>
    </w:p>
    <w:p>
      <w:pPr>
        <w:pStyle w:val="TDA"/>
      </w:pPr>
      <w:r>
        <w:t>TBC</w:t>
      </w:r>
      <w:r>
        <w:tab/>
        <w:t>To Be Confirmed</w:t>
      </w:r>
    </w:p>
    <w:p>
      <w:pPr>
        <w:pStyle w:val="TDA"/>
      </w:pPr>
      <w:r>
        <w:t>TBD</w:t>
      </w:r>
      <w:r>
        <w:tab/>
        <w:t>To Be Determined</w:t>
      </w:r>
    </w:p>
    <w:p>
      <w:pPr>
        <w:pStyle w:val="TDA"/>
      </w:pPr>
      <w:r>
        <w:t>TC/TM</w:t>
      </w:r>
      <w:r>
        <w:tab/>
        <w:t>Telecommand / Telemetry</w:t>
      </w:r>
    </w:p>
    <w:p>
      <w:pPr>
        <w:pStyle w:val="TDA"/>
      </w:pPr>
      <w:r>
        <w:t>TM</w:t>
      </w:r>
      <w:r>
        <w:tab/>
        <w:t>Telemetry</w:t>
      </w:r>
    </w:p>
    <w:p>
      <w:pPr>
        <w:pStyle w:val="Heading1"/>
      </w:pPr>
      <w:r>
        <w:t>Software Overview</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34Âº close to the end of the mission), making detailed studies of the Sun's polar regions possible.</w:t>
      </w:r>
    </w:p>
    <w:p>
      <w:r>
        <w:t xml:space="preserve">The ESA document Solar Orbiter Science Requirements Document </w:t>
      </w:r>
      <w:hyperlink w:anchor="IR-06">
        <w:r>
          <w:rPr>
            <w:i/>
          </w:rP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3"/>
      </w:pPr>
      <w:r>
        <w:t>Lifetime Requirements</w:t>
      </w:r>
    </w:p>
    <w:tbl>
      <w:tblPr>
        <w:tblW w:w="5000" w:type="pct"/>
        <w:tblStyle w:val="TableGridFirstRowColummShadow"/>
      </w:tblPr>
      <w:tr>
        <w:tc>
          <w:tcPr>
            <w:tcW w:w="1000" w:type="pct"/>
          </w:tcPr>
          <w:p>
            <w:r>
              <w:rPr>
                <w:b/>
              </w:rPr>
              <w:t>Name</w:t>
            </w:r>
          </w:p>
        </w:tc>
        <w:tc>
          <w:tcPr>
					</w:tcPr>
          <w:p>
            <w:r>
              <w:rPr>
                <w:b/>
              </w:rPr>
              <w:t>R-006</w:t>
            </w:r>
          </w:p>
        </w:tc>
      </w:tr>
      <w:tr>
        <w:tc>
          <w:tcPr>
					</w:tcPr>
          <w:p>
            <w:r>
              <w:rPr>
                <w:b/>
              </w:rPr>
              <w:t>Description</w:t>
            </w:r>
          </w:p>
        </w:tc>
        <w:tc>
          <w:tcPr>
					</w:tcPr>
          <w:p>
            <w:r>
              <w:t>The PI shall ensure that the instrument HW has a nominal life time of 7.1 years in space.</w:t>
            </w:r>
          </w:p>
        </w:tc>
      </w:tr>
      <w:tr>
        <w:tc>
          <w:tcPr>
					</w:tcPr>
          <w:p>
            <w:r>
              <w:rPr>
                <w:b/>
              </w:rPr>
              <w:t>Validation Method</w:t>
            </w:r>
          </w:p>
        </w:tc>
        <w:tc>
          <w:tcPr>
					</w:tcPr>
          <w:p>
            <w:r>
              <w:rPr>
                <w:b/>
              </w:rPr>
              <w:t>A</w:t>
            </w:r>
          </w:p>
        </w:tc>
      </w:tr>
    </w:tbl>
    <w:p>
      <w:r>
        <w:t>EIDA-1657</w:t>
      </w:r>
    </w:p>
    <w:p>
      <w:r>
        <w:t>Nominal life time starts at launch and finishes after VGAM-4, which defines the end of the nominal science mission phase.</w:t>
      </w:r>
    </w:p>
    <w:tbl>
      <w:tblPr>
        <w:tblW w:w="5000" w:type="pct"/>
        <w:tblStyle w:val="TableGridFirstRowColummShadow"/>
      </w:tblPr>
      <w:tr>
        <w:tc>
          <w:tcPr>
            <w:tcW w:w="1000" w:type="pct"/>
          </w:tcPr>
          <w:p>
            <w:r>
              <w:rPr>
                <w:b/>
              </w:rPr>
              <w:t>Name</w:t>
            </w:r>
          </w:p>
        </w:tc>
        <w:tc>
          <w:tcPr>
					</w:tcPr>
          <w:p>
            <w:r>
              <w:rPr>
                <w:b/>
              </w:rPr>
              <w:t>R-007</w:t>
            </w:r>
          </w:p>
        </w:tc>
      </w:tr>
      <w:tr>
        <w:tc>
          <w:tcPr>
					</w:tcPr>
          <w:p>
            <w:r>
              <w:rPr>
                <w:b/>
              </w:rPr>
              <w:t>Description</w:t>
            </w:r>
          </w:p>
        </w:tc>
        <w:tc>
          <w:tcPr>
					</w:tcPr>
          <w:p>
            <w:r>
              <w:t>The PI shall ensure that the overall instrument design is compatible with a shelf-life time of two years due to a possible launch delay from the nominal launch date.</w:t>
            </w:r>
          </w:p>
        </w:tc>
      </w:tr>
      <w:tr>
        <w:tc>
          <w:tcPr>
					</w:tcPr>
          <w:p>
            <w:r>
              <w:rPr>
                <w:b/>
              </w:rPr>
              <w:t>Validation Method</w:t>
            </w:r>
          </w:p>
        </w:tc>
        <w:tc>
          <w:tcPr>
					</w:tcPr>
          <w:p>
            <w:r>
              <w:rPr>
                <w:b/>
              </w:rPr>
              <w:t>A</w:t>
            </w:r>
          </w:p>
        </w:tc>
      </w:tr>
    </w:tbl>
    <w:p>
      <w:r>
        <w:t>EIDA-1659</w:t>
      </w:r>
    </w:p>
    <w:p>
      <w:r>
        <w:t>The PI should ensure that the overall instrument design is compatible with an extended lifetime of 10.2 years. This extended lifetime includes the nominal lifetime and ends after VGAM-6.</w:t>
      </w:r>
    </w:p>
    <w:p>
      <w:pPr>
        <w:pStyle w:val="Heading2"/>
      </w:pPr>
      <w:r>
        <w:t>Capabilities</w:t>
      </w:r>
    </w:p>
    <w:p>
      <w:pPr>
        <w:pStyle w:val="Heading2"/>
      </w:pPr>
      <w:r>
        <w:t>System Interface</w:t>
      </w:r>
    </w:p>
    <w:p>
      <w:pPr>
        <w:pStyle w:val="Heading3"/>
      </w:pPr>
      <w:r>
        <w:t>Data Management Interface and Design</w:t>
      </w:r>
    </w:p>
    <w:tbl>
      <w:tblPr>
        <w:tblW w:w="5000" w:type="pct"/>
        <w:tblStyle w:val="TableGridFirstRowColummShadow"/>
      </w:tblPr>
      <w:tr>
        <w:tc>
          <w:tcPr>
            <w:tcW w:w="1000" w:type="pct"/>
          </w:tcPr>
          <w:p>
            <w:r>
              <w:rPr>
                <w:b/>
              </w:rPr>
              <w:t>Name</w:t>
            </w:r>
          </w:p>
        </w:tc>
        <w:tc>
          <w:tcPr>
					</w:tcPr>
          <w:p>
            <w:r>
              <w:rPr>
                <w:b/>
              </w:rPr>
              <w:t>R-180</w:t>
            </w:r>
          </w:p>
        </w:tc>
      </w:tr>
      <w:tr>
        <w:tc>
          <w:tcPr>
					</w:tcPr>
          <w:p>
            <w:r>
              <w:rPr>
                <w:b/>
              </w:rPr>
              <w:t>Description</w:t>
            </w:r>
          </w:p>
        </w:tc>
        <w:tc>
          <w:tcPr>
					</w:tcPr>
          <w:p>
            <w:r>
              <w:t xml:space="preserve">The PI shall ensure that the instrument comply to the associated TM-/ TC-Packet Services specified as mandatory for the payload in </w:t>
            </w:r>
            <w:hyperlink w:anchor="NR-28">
              <w:r>
                <w:rPr>
                  <w:i/>
                </w:rPr>
                <w:t>NR-28</w:t>
              </w:r>
            </w:hyperlink>
            <w:r>
              <w:t>.</w:t>
            </w:r>
          </w:p>
        </w:tc>
      </w:tr>
      <w:tr>
        <w:tc>
          <w:tcPr>
					</w:tcPr>
          <w:p>
            <w:r>
              <w:rPr>
                <w:b/>
              </w:rPr>
              <w:t>Validation Method</w:t>
            </w:r>
          </w:p>
        </w:tc>
        <w:tc>
          <w:tcPr>
					</w:tcPr>
          <w:p>
            <w:r>
              <w:rPr>
                <w:b/>
              </w:rPr>
              <w:t>T</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rPr>
            <w:i/>
          </w:rP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p>
      <w:pPr>
        <w:pStyle w:val="Heading2"/>
      </w:pPr>
      <w:r>
        <w:t>Adaptation and Missionization</w:t>
      </w:r>
    </w:p>
    <w:p>
      <w:pPr>
        <w:pStyle w:val="Heading3"/>
      </w:pPr>
      <w:r>
        <w:t>Off-Line Operations</w:t>
      </w:r>
    </w:p>
    <w:tbl>
      <w:tblPr>
        <w:tblW w:w="5000" w:type="pct"/>
        <w:tblStyle w:val="TableGridFirstRowColummShadow"/>
      </w:tblPr>
      <w:tr>
        <w:tc>
          <w:tcPr>
            <w:tcW w:w="1000" w:type="pct"/>
          </w:tcPr>
          <w:p>
            <w:r>
              <w:rPr>
                <w:b/>
              </w:rPr>
              <w:t>Name</w:t>
            </w:r>
          </w:p>
        </w:tc>
        <w:tc>
          <w:tcPr>
					</w:tcPr>
          <w:p>
            <w:r>
              <w:rPr>
                <w:b/>
              </w:rPr>
              <w:t>R-366</w:t>
            </w:r>
          </w:p>
        </w:tc>
      </w:tr>
      <w:tr>
        <w:tc>
          <w:tcPr>
					</w:tcPr>
          <w:p>
            <w:r>
              <w:rPr>
                <w:b/>
              </w:rPr>
              <w:t>Description</w:t>
            </w:r>
          </w:p>
        </w:tc>
        <w:tc>
          <w:tcPr>
					</w:tcPr>
          <w:p>
            <w:r>
              <w:t xml:space="preserve">The PI shall comply with the relevant requirements specified in the Solar Orbiter Operation Requirements Document </w:t>
            </w:r>
            <w:hyperlink w:anchor="NR-27">
              <w:r>
                <w:rPr>
                  <w:i/>
                </w:rPr>
                <w:t>NR-27</w:t>
              </w:r>
            </w:hyperlink>
            <w:r>
              <w:t xml:space="preserve"> on Spacecraft Control (Section 2.1) and referenced documents therein.</w:t>
            </w:r>
          </w:p>
        </w:tc>
      </w:tr>
      <w:tr>
        <w:tc>
          <w:tcPr>
					</w:tcPr>
          <w:p>
            <w:r>
              <w:rPr>
                <w:b/>
              </w:rPr>
              <w:t>Validation Method</w:t>
            </w:r>
          </w:p>
        </w:tc>
        <w:tc>
          <w:tcPr>
					</w:tcPr>
          <w:p>
            <w:r>
              <w:rPr>
                <w:b/>
              </w:rPr>
              <w:t>T</w:t>
            </w:r>
          </w:p>
        </w:tc>
      </w:tr>
    </w:tbl>
    <w:p>
      <w:r>
        <w:t>EIDA-333</w:t>
      </w:r>
    </w:p>
    <w:p>
      <w:pPr>
        <w:pStyle w:val="Heading2"/>
      </w:pPr>
      <w:r>
        <w:t>Computer Resource</w:t>
      </w:r>
    </w:p>
    <w:p>
      <w:pPr>
        <w:pStyle w:val="Heading2"/>
      </w:pPr>
      <w:r>
        <w:t>Security</w:t>
      </w:r>
    </w:p>
    <w:p>
      <w:pPr>
        <w:pStyle w:val="Heading2"/>
      </w:pPr>
      <w:r>
        <w:t>Safety</w:t>
      </w:r>
    </w:p>
    <w:p>
      <w:pPr>
        <w:pStyle w:val="Heading3"/>
      </w:pPr>
      <w:r>
        <w:t>Instrument Autonomy and FDIR</w:t>
      </w:r>
    </w:p>
    <w:tbl>
      <w:tblPr>
        <w:tblW w:w="5000" w:type="pct"/>
        <w:tblStyle w:val="TableGridFirstRowColummShadow"/>
      </w:tblPr>
      <w:tr>
        <w:tc>
          <w:tcPr>
            <w:tcW w:w="1000" w:type="pct"/>
          </w:tcPr>
          <w:p>
            <w:r>
              <w:rPr>
                <w:b/>
              </w:rPr>
              <w:t>Name</w:t>
            </w:r>
          </w:p>
        </w:tc>
        <w:tc>
          <w:tcPr>
					</w:tcPr>
          <w:p>
            <w:r>
              <w:rPr>
                <w:b/>
              </w:rPr>
              <w:t>R-407</w:t>
            </w:r>
          </w:p>
        </w:tc>
      </w:tr>
      <w:tr>
        <w:tc>
          <w:tcPr>
					</w:tcPr>
          <w:p>
            <w:r>
              <w:rPr>
                <w:b/>
              </w:rPr>
              <w:t>Description</w:t>
            </w:r>
          </w:p>
        </w:tc>
        <w:tc>
          <w:tcPr>
					</w:tcPr>
          <w:p>
            <w:r>
              <w:t xml:space="preserve">The PI shall comply with the requirements regarding FDIR and Onboard Reconfiguration Handling as specified in the section 2.2.2 and section 2.2.3 of </w:t>
            </w:r>
            <w:hyperlink w:anchor="NR-27">
              <w:r>
                <w:rPr>
                  <w:i/>
                </w:rPr>
                <w:t>NR-27</w:t>
              </w:r>
            </w:hyperlink>
            <w:r>
              <w:t>.</w:t>
            </w:r>
          </w:p>
        </w:tc>
      </w:tr>
      <w:tr>
        <w:tc>
          <w:tcPr>
					</w:tcPr>
          <w:p>
            <w:r>
              <w:rPr>
                <w:b/>
              </w:rPr>
              <w:t>Validation Method</w:t>
            </w:r>
          </w:p>
        </w:tc>
        <w:tc>
          <w:tcPr>
					</w:tcPr>
          <w:p>
            <w:r>
              <w:rPr>
                <w:b/>
              </w:rPr>
              <w:t>T</w:t>
            </w:r>
          </w:p>
        </w:tc>
      </w:tr>
    </w:tbl>
    <w:p>
      <w:r>
        <w:t>EIDA-3074</w:t>
      </w:r>
    </w:p>
    <w:tbl>
      <w:tblPr>
        <w:tblW w:w="5000" w:type="pct"/>
        <w:tblStyle w:val="TableGridFirstRowColummShadow"/>
      </w:tblPr>
      <w:tr>
        <w:tc>
          <w:tcPr>
            <w:tcW w:w="1000" w:type="pct"/>
          </w:tcPr>
          <w:p>
            <w:r>
              <w:rPr>
                <w:b/>
              </w:rPr>
              <w:t>Name</w:t>
            </w:r>
          </w:p>
        </w:tc>
        <w:tc>
          <w:tcPr>
					</w:tcPr>
          <w:p>
            <w:r>
              <w:rPr>
                <w:b/>
              </w:rPr>
              <w:t>R-261</w:t>
            </w:r>
          </w:p>
        </w:tc>
      </w:tr>
      <w:tr>
        <w:tc>
          <w:tcPr>
					</w:tcPr>
          <w:p>
            <w:r>
              <w:rPr>
                <w:b/>
              </w:rPr>
              <w:t>Description</w:t>
            </w:r>
          </w:p>
        </w:tc>
        <w:tc>
          <w:tcPr>
					</w:tcPr>
          <w:p>
            <w:r>
              <w:t xml:space="preserve">The PI shall implement a connection test service (Service 17) according to the specifications given chapter 3 of </w:t>
            </w:r>
            <w:hyperlink w:anchor="NR-27">
              <w:r>
                <w:rPr>
                  <w:i/>
                </w:rPr>
                <w:t>NR-27</w:t>
              </w:r>
            </w:hyperlink>
            <w:r>
              <w:t>.</w:t>
            </w:r>
          </w:p>
        </w:tc>
      </w:tr>
      <w:tr>
        <w:tc>
          <w:tcPr>
					</w:tcPr>
          <w:p>
            <w:r>
              <w:rPr>
                <w:b/>
              </w:rPr>
              <w:t>Validation Method</w:t>
            </w:r>
          </w:p>
        </w:tc>
        <w:tc>
          <w:tcPr>
					</w:tcPr>
          <w:p>
            <w:r>
              <w:rPr>
                <w:b/>
              </w:rPr>
              <w:t>T</w:t>
            </w:r>
          </w:p>
        </w:tc>
      </w:tr>
    </w:tbl>
    <w:p>
      <w:r>
        <w:t>EIDA-3076</w:t>
      </w:r>
    </w:p>
    <w:tbl>
      <w:tblPr>
        <w:tblW w:w="5000" w:type="pct"/>
        <w:tblStyle w:val="TableGridFirstRowColummShadow"/>
      </w:tblPr>
      <w:tr>
        <w:tc>
          <w:tcPr>
            <w:tcW w:w="1000" w:type="pct"/>
          </w:tcPr>
          <w:p>
            <w:r>
              <w:rPr>
                <w:b/>
              </w:rPr>
              <w:t>Name</w:t>
            </w:r>
          </w:p>
        </w:tc>
        <w:tc>
          <w:tcPr>
					</w:tcPr>
          <w:p>
            <w:r>
              <w:rPr>
                <w:b/>
              </w:rPr>
              <w:t>R-264</w:t>
            </w:r>
          </w:p>
        </w:tc>
      </w:tr>
      <w:tr>
        <w:tc>
          <w:tcPr>
					</w:tcPr>
          <w:p>
            <w:r>
              <w:rPr>
                <w:b/>
              </w:rPr>
              <w:t>Description</w:t>
            </w:r>
          </w:p>
        </w:tc>
        <w:tc>
          <w:tcPr>
					</w:tcPr>
          <w:p>
            <w:r>
              <w:t>The PI shall ensure that anomaly Instrument reports, if any, are generated only once per anomaly occurrence even if the anomaly is detected during successive cycles.</w:t>
            </w:r>
          </w:p>
        </w:tc>
      </w:tr>
      <w:tr>
        <w:tc>
          <w:tcPr>
					</w:tcPr>
          <w:p>
            <w:r>
              <w:rPr>
                <w:b/>
              </w:rPr>
              <w:t>Validation Method</w:t>
            </w:r>
          </w:p>
        </w:tc>
        <w:tc>
          <w:tcPr>
					</w:tcPr>
          <w:p>
            <w:r>
              <w:rPr>
                <w:b/>
              </w:rPr>
              <w:t>T</w:t>
            </w:r>
          </w:p>
        </w:tc>
      </w:tr>
    </w:tbl>
    <w:p>
      <w:r>
        <w:t>EIDA-3038</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3"/>
      </w:pPr>
      <w:r>
        <w:t>Software Design and Interface</w:t>
      </w:r>
    </w:p>
    <w:tbl>
      <w:tblPr>
        <w:tblW w:w="5000" w:type="pct"/>
        <w:tblStyle w:val="TableGridFirstRowColummShadow"/>
      </w:tblPr>
      <w:tr>
        <w:tc>
          <w:tcPr>
            <w:tcW w:w="1000" w:type="pct"/>
          </w:tcPr>
          <w:p>
            <w:r>
              <w:rPr>
                <w:b/>
              </w:rPr>
              <w:t>Name</w:t>
            </w:r>
          </w:p>
        </w:tc>
        <w:tc>
          <w:tcPr>
					</w:tcPr>
          <w:p>
            <w:r>
              <w:rPr>
                <w:b/>
              </w:rPr>
              <w:t>R-406</w:t>
            </w:r>
          </w:p>
        </w:tc>
      </w:tr>
      <w:tr>
        <w:tc>
          <w:tcPr>
					</w:tcPr>
          <w:p>
            <w:r>
              <w:rPr>
                <w:b/>
              </w:rPr>
              <w:t>Description</w:t>
            </w:r>
          </w:p>
        </w:tc>
        <w:tc>
          <w:tcPr>
					</w:tcPr>
          <w:p>
            <w:r>
              <w:t xml:space="preserve">The PI shall comply with the requirements regarding Onboard Processors, Software and Memory Management as specified in section 2.3.2 of </w:t>
            </w:r>
            <w:hyperlink w:anchor="NR-27">
              <w:r>
                <w:rPr>
                  <w:i/>
                </w:rPr>
                <w:t>NR-27</w:t>
              </w:r>
            </w:hyperlink>
            <w:r>
              <w:t>.</w:t>
            </w:r>
          </w:p>
        </w:tc>
      </w:tr>
      <w:tr>
        <w:tc>
          <w:tcPr>
					</w:tcPr>
          <w:p>
            <w:r>
              <w:rPr>
                <w:b/>
              </w:rPr>
              <w:t>Validation Method</w:t>
            </w:r>
          </w:p>
        </w:tc>
        <w:tc>
          <w:tcPr>
					</w:tcPr>
          <w:p>
            <w:r>
              <w:rPr>
                <w:b/>
              </w:rPr>
              <w:t>T</w:t>
            </w:r>
          </w:p>
        </w:tc>
      </w:tr>
    </w:tbl>
    <w:p>
      <w:r>
        <w:t>EIDA-3079</w:t>
      </w:r>
    </w:p>
    <w:p>
      <w:pPr>
        <w:pStyle w:val="Heading2"/>
      </w:pPr>
      <w:r>
        <w:t>Software Maintenance</w:t>
      </w:r>
    </w:p>
    <w:p>
      <w:pPr>
        <w:pStyle w:val="Heading2"/>
      </w:pPr>
      <w:r>
        <w:t>System Software Observability</w:t>
      </w:r>
    </w:p>
    <w:p>
      <w:pPr>
        <w:pStyle w:val="Heading1"/>
      </w:pPr>
      <w:r>
        <w:t>Verification, Validation and Integration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