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r>
        <w:rPr>
          <w:i/>
        </w:rPr>
        <w:tab/>
        <w:t>Solar Orbiter Operations Requirements Document</w:t>
      </w:r>
      <w:r>
        <w:t>. SO-ESC-RS-05001 issue 1 rev 8</w:t>
      </w:r>
      <w:bookmarkEnd w:id="0"/>
    </w:p>
    <w:p>
      <w:pPr>
        <w:pStyle w:val="ADRD"/>
      </w:pPr>
      <w:bookmarkStart w:id="1" w:name="NR-28"/>
      <w:r>
        <w:t>NR-28</w:t>
      </w:r>
      <w:r>
        <w:rPr>
          <w:i/>
        </w:rPr>
        <w:tab/>
        <w:t>Solar Orbiter TM/T- and Packet Structure ICD</w:t>
      </w:r>
      <w:r>
        <w:t>. SOL-S-ASTR-TN-0079 issue 7</w:t>
      </w:r>
      <w:bookmarkEnd w:id="1"/>
    </w:p>
    <w:p>
      <w:pPr>
        <w:pStyle w:val="Heading1"/>
      </w:pPr>
      <w:r>
        <w:t>Reference Documents</w:t>
      </w:r>
    </w:p>
    <w:p>
      <w:pPr>
        <w:pStyle w:val="ADRD"/>
      </w:pPr>
      <w:bookmarkStart w:id="2" w:name="IR-06"/>
      <w:r>
        <w:t>IR-06</w:t>
      </w:r>
      <w:r>
        <w:rPr>
          <w:i/>
        </w:rPr>
        <w:tab/>
        <w:t>Solar Orbiter Science Requirements Document</w:t>
      </w:r>
      <w:r>
        <w:t>. SOL-EST-RS-1858 issue 2 rev 0</w:t>
      </w:r>
      <w:bookmarkEnd w:id="2"/>
    </w:p>
    <w:p>
      <w:pPr>
        <w:pStyle w:val="Heading1"/>
      </w:pPr>
      <w:r>
        <w:t>Terms, Definitions and Abbreviations</w:t>
      </w:r>
    </w:p>
    <w:p>
      <w:pPr>
        <w:pStyle w:val="TDA"/>
      </w:pPr>
      <w:r>
        <w:t>EPD</w:t>
      </w:r>
      <w:r>
        <w:tab/>
        <w:t>Energetic Particle Detector</w:t>
      </w:r>
    </w:p>
    <w:p>
      <w:pPr>
        <w:pStyle w:val="TDA"/>
      </w:pPr>
      <w:r>
        <w:t>EPT</w:t>
      </w:r>
      <w:r>
        <w:tab/>
        <w:t>Electron and Proton Telescope</w:t>
      </w:r>
    </w:p>
    <w:p>
      <w:pPr>
        <w:pStyle w:val="TDA"/>
      </w:pPr>
      <w:r>
        <w:t>FFT</w:t>
      </w:r>
      <w:r>
        <w:tab/>
        <w:t>Full Functional Test</w:t>
      </w:r>
    </w:p>
    <w:p>
      <w:pPr>
        <w:pStyle w:val="TDA"/>
      </w:pPr>
      <w:r>
        <w:t>FM</w:t>
      </w:r>
      <w:r>
        <w:tab/>
        <w:t>Flight Model</w:t>
      </w:r>
    </w:p>
    <w:p>
      <w:pPr>
        <w:pStyle w:val="TDA"/>
      </w:pPr>
      <w:r>
        <w:t>GSE</w:t>
      </w:r>
      <w:r>
        <w:tab/>
        <w:t>Ground Support Equipment</w:t>
      </w:r>
    </w:p>
    <w:p>
      <w:pPr>
        <w:pStyle w:val="TDA"/>
      </w:pPr>
      <w:r>
        <w:t>HET</w:t>
      </w:r>
      <w:r>
        <w:tab/>
        <w:t>High Energy Telescope</w:t>
      </w:r>
    </w:p>
    <w:p>
      <w:pPr>
        <w:pStyle w:val="TDA"/>
      </w:pPr>
      <w:r>
        <w:t>LISN</w:t>
      </w:r>
      <w:r>
        <w:tab/>
        <w:t>Line Impedance Stabilization Network</w:t>
      </w:r>
    </w:p>
    <w:p>
      <w:pPr>
        <w:pStyle w:val="TDA"/>
      </w:pPr>
      <w:r>
        <w:t>QM</w:t>
      </w:r>
      <w:r>
        <w:tab/>
        <w:t>Qualification Model</w:t>
      </w:r>
    </w:p>
    <w:p>
      <w:pPr>
        <w:pStyle w:val="TDA"/>
      </w:pPr>
      <w:r>
        <w:t>S/C</w:t>
      </w:r>
      <w:r>
        <w:tab/>
        <w:t>Spacecraft</w:t>
      </w:r>
    </w:p>
    <w:p>
      <w:pPr>
        <w:pStyle w:val="TDA"/>
      </w:pPr>
      <w:r>
        <w:t>SpW</w:t>
      </w:r>
      <w:r>
        <w:tab/>
        <w:t>Space Wire</w:t>
      </w:r>
    </w:p>
    <w:p>
      <w:pPr>
        <w:pStyle w:val="TDA"/>
      </w:pPr>
      <w:r>
        <w:t>STEP</w:t>
      </w:r>
      <w:r>
        <w:tab/>
        <w:t>SupraThermal Electrons and Protons</w:t>
      </w:r>
    </w:p>
    <w:p>
      <w:pPr>
        <w:pStyle w:val="TDA"/>
      </w:pPr>
      <w:r>
        <w:t>TBC</w:t>
      </w:r>
      <w:r>
        <w:tab/>
        <w:t>To Be Confirmed</w:t>
      </w:r>
    </w:p>
    <w:p>
      <w:pPr>
        <w:pStyle w:val="TDA"/>
      </w:pPr>
      <w:r>
        <w:t>TBD</w:t>
      </w:r>
      <w:r>
        <w:tab/>
        <w:t>To Be Determined</w:t>
      </w:r>
    </w:p>
    <w:p>
      <w:pPr>
        <w:pStyle w:val="TDA"/>
      </w:pPr>
      <w:r>
        <w:t>TC/TM</w:t>
      </w:r>
      <w:r>
        <w:tab/>
        <w:t>Telecommand / Telemetry</w:t>
      </w:r>
    </w:p>
    <w:p>
      <w:pPr>
        <w:pStyle w:val="TDA"/>
      </w:pPr>
      <w:r>
        <w:t>TM</w:t>
      </w:r>
      <w:r>
        <w:tab/>
        <w:t>Telemetry</w:t>
      </w:r>
    </w:p>
    <w:p>
      <w:pPr>
        <w:pStyle w:val="Heading1"/>
      </w:pPr>
      <w:r>
        <w:t>Software Overview</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rPr>
            <w:i/>
          </w:rP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Lifetime Requirements</w:t>
      </w:r>
    </w:p>
    <w:tbl>
      <w:tblPr>
        <w:tblW w:w="5000" w:type="pct"/>
        <w:tblStyle w:val="TableGridFirstRowColummShadow"/>
      </w:tblPr>
      <w:tr>
        <w:tc>
          <w:tcPr>
            <w:tcW w:w="1000" w:type="pct"/>
          </w:tcPr>
          <w:p>
            <w:r>
              <w:rPr>
                <w:b/>
              </w:rPr>
              <w:t>Name</w:t>
            </w:r>
          </w:p>
        </w:tc>
        <w:tc>
          <w:tcPr>
					</w:tcPr>
          <w:p>
            <w:r>
              <w:rPr>
                <w:b/>
              </w:rPr>
              <w:t>R-006</w:t>
            </w:r>
          </w:p>
        </w:tc>
      </w:tr>
      <w:tr>
        <w:tc>
          <w:tcPr>
					</w:tcPr>
          <w:p>
            <w:r>
              <w:rPr>
                <w:b/>
              </w:rPr>
              <w:t>Description</w:t>
            </w:r>
          </w:p>
        </w:tc>
        <w:tc>
          <w:tcPr>
					</w:tcPr>
          <w:p>
            <w:r>
              <w:t xml:space="preserve">The PI shall ensure that the instrument HW has a nominal life time of </w:t>
            </w:r>
            <w:hyperlink w:anchor="TBC Nominal Life">
              <w:r>
                <w:rPr>
                  <w:i/>
                </w:rPr>
                <w:t>7.1 years TBC</w:t>
              </w:r>
            </w:hyperlink>
            <w:r>
              <w:t xml:space="preserve"> in space.</w:t>
            </w:r>
          </w:p>
        </w:tc>
      </w:tr>
      <w:tr>
        <w:tc>
          <w:tcPr>
					</w:tcPr>
          <w:p>
            <w:r>
              <w:rPr>
                <w:b/>
              </w:rPr>
              <w:t>Validation Method</w:t>
            </w:r>
          </w:p>
        </w:tc>
        <w:tc>
          <w:tcPr>
					</w:tcPr>
          <w:p>
            <w:r>
              <w:rPr>
                <w:b/>
              </w:rPr>
              <w:t>A</w:t>
            </w:r>
          </w:p>
        </w:tc>
      </w:tr>
    </w:tbl>
    <w:p>
      <w:r>
        <w:t>EIDA-1657</w:t>
      </w:r>
    </w:p>
    <w:p>
      <w:r>
        <w:t>Nominal life time starts at launch and finishes after VGAM-4, which defines the end of the nominal science mission phase.</w:t>
      </w:r>
    </w:p>
    <w:tbl>
      <w:tblPr>
        <w:tblW w:w="5000" w:type="pct"/>
        <w:tblStyle w:val="TableGridFirstRowColummShadow"/>
      </w:tblPr>
      <w:tr>
        <w:tc>
          <w:tcPr>
            <w:tcW w:w="1000" w:type="pct"/>
          </w:tcPr>
          <w:p>
            <w:r>
              <w:rPr>
                <w:b/>
              </w:rPr>
              <w:t>Name</w:t>
            </w:r>
          </w:p>
        </w:tc>
        <w:tc>
          <w:tcPr>
					</w:tcPr>
          <w:p>
            <w:r>
              <w:rPr>
                <w:b/>
              </w:rPr>
              <w:t>R-007</w:t>
            </w:r>
          </w:p>
        </w:tc>
      </w:tr>
      <w:tr>
        <w:tc>
          <w:tcPr>
					</w:tcPr>
          <w:p>
            <w:r>
              <w:rPr>
                <w:b/>
              </w:rPr>
              <w:t>Description</w:t>
            </w:r>
          </w:p>
        </w:tc>
        <w:tc>
          <w:tcPr>
					</w:tcPr>
          <w:p>
            <w:r>
              <w:t>The PI shall ensure that the overall instrument design is compatible with a shelf-life time of two years due to a possible launch delay from the nominal launch date.</w:t>
            </w:r>
          </w:p>
        </w:tc>
      </w:tr>
      <w:tr>
        <w:tc>
          <w:tcPr>
					</w:tcPr>
          <w:p>
            <w:r>
              <w:rPr>
                <w:b/>
              </w:rPr>
              <w:t>Validation Method</w:t>
            </w:r>
          </w:p>
        </w:tc>
        <w:tc>
          <w:tcPr>
					</w:tcPr>
          <w:p>
            <w:r>
              <w:rPr>
                <w:b/>
              </w:rPr>
              <w:t>A</w:t>
            </w:r>
          </w:p>
        </w:tc>
      </w:tr>
    </w:tbl>
    <w:p>
      <w:r>
        <w:t>EIDA-1659</w:t>
      </w:r>
    </w:p>
    <w:p>
      <w:r>
        <w:t xml:space="preserve">The PI should ensure that the overall instrument design is compatible with an extended lifetime of </w:t>
      </w:r>
      <w:hyperlink w:anchor="TBC Extended Life">
        <w:r>
          <w:rPr>
            <w:i/>
          </w:rPr>
          <w:t>10.2 years TBC</w:t>
        </w:r>
      </w:hyperlink>
      <w:r>
        <w:t>. This extended lifetime includes the nominal lifetime and ends after VGAM-6.</w:t>
      </w:r>
    </w:p>
    <w:p>
      <w:pPr>
        <w:pStyle w:val="Heading3"/>
      </w:pPr>
      <w:r>
        <w:t>Fault Tolerance</w:t>
      </w:r>
    </w:p>
    <w:tbl>
      <w:tblPr>
        <w:tblW w:w="5000" w:type="pct"/>
        <w:tblStyle w:val="TableGridFirstRowColummShadow"/>
      </w:tblPr>
      <w:tr>
        <w:tc>
          <w:tcPr>
            <w:tcW w:w="1000" w:type="pct"/>
          </w:tcPr>
          <w:p>
            <w:r>
              <w:rPr>
                <w:b/>
              </w:rPr>
              <w:t>Name</w:t>
            </w:r>
          </w:p>
        </w:tc>
        <w:tc>
          <w:tcPr>
					</w:tcPr>
          <w:p>
            <w:r>
              <w:rPr>
                <w:b/>
              </w:rPr>
              <w:t>R-014</w:t>
            </w:r>
          </w:p>
        </w:tc>
      </w:tr>
      <w:tr>
        <w:tc>
          <w:tcPr>
					</w:tcPr>
          <w:p>
            <w:r>
              <w:rPr>
                <w:b/>
              </w:rPr>
              <w:t>Description</w:t>
            </w:r>
          </w:p>
        </w:tc>
        <w:tc>
          <w:tcPr>
					</w:tcPr>
          <w:p>
            <w:r>
              <w:t>The PI shall ensure that recovery from Safe Mode is done through ground telecommand.</w:t>
            </w:r>
          </w:p>
        </w:tc>
      </w:tr>
      <w:tr>
        <w:tc>
          <w:tcPr>
					</w:tcPr>
          <w:p>
            <w:r>
              <w:rPr>
                <w:b/>
              </w:rPr>
              <w:t>Validation Method</w:t>
            </w:r>
          </w:p>
        </w:tc>
        <w:tc>
          <w:tcPr>
					</w:tcPr>
          <w:p>
            <w:r>
              <w:rPr>
                <w:b/>
              </w:rPr>
              <w:t>T</w:t>
            </w:r>
          </w:p>
        </w:tc>
      </w:tr>
    </w:tbl>
    <w:p>
      <w:r>
        <w:t>EIDA-1672</w:t>
      </w:r>
    </w:p>
    <w:p>
      <w:pPr>
        <w:pStyle w:val="Heading2"/>
      </w:pPr>
      <w:r>
        <w:t>Capabilities</w:t>
      </w:r>
    </w:p>
    <w:p>
      <w:pPr>
        <w:pStyle w:val="Heading2"/>
      </w:pPr>
      <w:r>
        <w:t>System Interface</w:t>
      </w:r>
    </w:p>
    <w:p>
      <w:pPr>
        <w:pStyle w:val="Heading3"/>
      </w:pPr>
      <w:r>
        <w:t>Data Management Interface and Design</w:t>
      </w:r>
    </w:p>
    <w:tbl>
      <w:tblPr>
        <w:tblW w:w="5000" w:type="pct"/>
        <w:tblStyle w:val="TableGridFirstRowColummShadow"/>
      </w:tblPr>
      <w:tr>
        <w:tc>
          <w:tcPr>
            <w:tcW w:w="1000" w:type="pct"/>
          </w:tcPr>
          <w:p>
            <w:r>
              <w:rPr>
                <w:b/>
              </w:rPr>
              <w:t>Name</w:t>
            </w:r>
          </w:p>
        </w:tc>
        <w:tc>
          <w:tcPr>
					</w:tcPr>
          <w:p>
            <w:r>
              <w:rPr>
                <w:b/>
              </w:rPr>
              <w:t>R-180</w:t>
            </w:r>
          </w:p>
        </w:tc>
      </w:tr>
      <w:tr>
        <w:tc>
          <w:tcPr>
					</w:tcPr>
          <w:p>
            <w:r>
              <w:rPr>
                <w:b/>
              </w:rPr>
              <w:t>Description</w:t>
            </w:r>
          </w:p>
        </w:tc>
        <w:tc>
          <w:tcPr>
					</w:tcPr>
          <w:p>
            <w:r>
              <w:t xml:space="preserve">The PI shall ensure that the instrument comply to the associated TM-/ TC-Packet Services specified as mandatory for the payload in </w:t>
            </w:r>
            <w:hyperlink w:anchor="NR-28">
              <w:r>
                <w:rPr>
                  <w:i/>
                </w:rPr>
                <w:t>NR-28</w:t>
              </w:r>
            </w:hyperlink>
            <w:r>
              <w:t>.</w:t>
            </w:r>
          </w:p>
        </w:tc>
      </w:tr>
      <w:tr>
        <w:tc>
          <w:tcPr>
					</w:tcPr>
          <w:p>
            <w:r>
              <w:rPr>
                <w:b/>
              </w:rPr>
              <w:t>Validation Method</w:t>
            </w:r>
          </w:p>
        </w:tc>
        <w:tc>
          <w:tcPr>
					</w:tcPr>
          <w:p>
            <w:r>
              <w:rPr>
                <w:b/>
              </w:rPr>
              <w:t>T</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rPr>
            <w:i/>
          </w:rP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tbl>
      <w:tblPr>
        <w:tblW w:w="5000" w:type="pct"/>
        <w:tblStyle w:val="TableGridFirstRowColummShadow"/>
      </w:tblPr>
      <w:tr>
        <w:tc>
          <w:tcPr>
            <w:tcW w:w="1000" w:type="pct"/>
          </w:tcPr>
          <w:p>
            <w:r>
              <w:rPr>
                <w:b/>
              </w:rPr>
              <w:t>Name</w:t>
            </w:r>
          </w:p>
        </w:tc>
        <w:tc>
          <w:tcPr>
					</w:tcPr>
          <w:p>
            <w:r>
              <w:rPr>
                <w:b/>
              </w:rPr>
              <w:t>R-184</w:t>
            </w:r>
          </w:p>
        </w:tc>
      </w:tr>
      <w:tr>
        <w:tc>
          <w:tcPr>
					</w:tcPr>
          <w:p>
            <w:r>
              <w:rPr>
                <w:b/>
              </w:rPr>
              <w:t>Description</w:t>
            </w:r>
          </w:p>
        </w:tc>
        <w:tc>
          <w:tcPr>
					</w:tcPr>
          <w:p>
            <w:r>
              <w:t>The PI shall implement at least the following modes (modes naming only given for illustrative purposes):</w:t>
            </w:r>
          </w:p>
          <w:p>
            <w:pPr>
              <w:pStyle w:val="ListParagraph"/>
              <w:numPr>
                <w:ilvl w:val="0"/>
                <w:numId w:val="4"/>
              </w:numPr>
            </w:pPr>
            <w:r>
              <w:t>OFF</w:t>
            </w:r>
          </w:p>
          <w:p>
            <w:pPr>
              <w:pStyle w:val="ListParagraph"/>
              <w:numPr>
                <w:ilvl w:val="0"/>
                <w:numId w:val="4"/>
              </w:numPr>
            </w:pPr>
            <w:r>
              <w:t>STANDBY/SAFE</w:t>
            </w:r>
          </w:p>
          <w:p>
            <w:pPr>
              <w:pStyle w:val="ListParagraph"/>
              <w:numPr>
                <w:ilvl w:val="0"/>
                <w:numId w:val="4"/>
              </w:numPr>
            </w:pPr>
            <w:r>
              <w:t>CONFIGURATION</w:t>
            </w:r>
          </w:p>
          <w:p>
            <w:pPr>
              <w:pStyle w:val="ListParagraph"/>
              <w:numPr>
                <w:ilvl w:val="0"/>
                <w:numId w:val="4"/>
              </w:numPr>
            </w:pPr>
            <w:r>
              <w:t>OPERATIONAL</w:t>
            </w:r>
          </w:p>
        </w:tc>
      </w:tr>
      <w:tr>
        <w:tc>
          <w:tcPr>
					</w:tcPr>
          <w:p>
            <w:r>
              <w:rPr>
                <w:b/>
              </w:rPr>
              <w:t>Validation Method</w:t>
            </w:r>
          </w:p>
        </w:tc>
        <w:tc>
          <w:tcPr>
					</w:tcPr>
          <w:p>
            <w:r>
              <w:rPr>
                <w:b/>
              </w:rPr>
              <w:t>T</w:t>
            </w:r>
          </w:p>
        </w:tc>
      </w:tr>
    </w:tbl>
    <w:p>
      <w:r>
        <w:t>EIDA-2774</w:t>
      </w:r>
    </w:p>
    <w:p>
      <w:r>
        <w:t>In the OFF mode the instrument is not powered. The Payload will be in OFF mode during launch. Status telemetry ( e.g temperatures measured at the SRPs or at the URPs, as agreed on a case by case basis) will be monitored through the RIU.</w:t>
      </w:r>
    </w:p>
    <w:p>
      <w:r>
        <w:t>The STANDBY/SAFE mode is a safe mode in which the instrument is powered but in a Safe configuration, which can be maintained indefinitely (e.g. main control unit powered but detector assembly off). In this mode the instrument will generate only non-science telemetry. The configuration of the instrument in Safe mode will be unambiguous (i.e. only one defined configuration).</w:t>
      </w:r>
    </w:p>
    <w:p>
      <w:r>
        <w:t>The CONFIGURATION mode shall be used for required operations to activate the instrument. In this mode science data as well as non-science may be generated, depending on the instrument configuration (e.g. detectors activated or not).</w:t>
      </w:r>
    </w:p>
    <w:p>
      <w:r>
        <w:t>The OPERATIONAL mode is the mode in which the instrument is fully operative and generates non-science as well as science data</w:t>
      </w:r>
    </w:p>
    <w:p>
      <w:r>
        <w:t xml:space="preserve">For TC packets and TM packets the APID is broken up into a Process ID (PID) [7 bits] and Category ID (Cat) [4 bits]: see </w:t>
      </w:r>
      <w:hyperlink w:anchor="NR-28">
        <w:r>
          <w:rPr>
            <w:i/>
          </w:rPr>
          <w:t>NR-28</w:t>
        </w:r>
      </w:hyperlink>
      <w:r>
        <w:t>.</w:t>
      </w:r>
    </w:p>
    <w:p>
      <w:r>
        <w:t xml:space="preserve">The ranges and allocations for these will be defined in </w:t>
      </w:r>
      <w:hyperlink w:anchor="NR-28">
        <w:r>
          <w:rPr>
            <w:i/>
          </w:rPr>
          <w:t>NR-28</w:t>
        </w:r>
      </w:hyperlink>
      <w:r>
        <w:t>.</w:t>
      </w:r>
    </w:p>
    <w:p>
      <w:r>
        <w:t>The Process Identifiers (PIDs) are assigned to each instrument in</w:t>
      </w:r>
      <w:hyperlink w:anchor="NR-28">
        <w:r>
          <w:rPr>
            <w:i/>
          </w:rPr>
          <w:t>NR-28</w:t>
        </w:r>
      </w:hyperlink>
      <w:r>
        <w:t>.</w:t>
      </w:r>
    </w:p>
    <w:tbl>
      <w:tblPr>
        <w:tblW w:w="5000" w:type="pct"/>
        <w:tblStyle w:val="TableGridFirstRowColummShadow"/>
      </w:tblPr>
      <w:tr>
        <w:tc>
          <w:tcPr>
            <w:tcW w:w="1000" w:type="pct"/>
          </w:tcPr>
          <w:p>
            <w:r>
              <w:rPr>
                <w:b/>
              </w:rPr>
              <w:t>Name</w:t>
            </w:r>
          </w:p>
        </w:tc>
        <w:tc>
          <w:tcPr>
					</w:tcPr>
          <w:p>
            <w:r>
              <w:rPr>
                <w:b/>
              </w:rPr>
              <w:t>R-188</w:t>
            </w:r>
          </w:p>
        </w:tc>
      </w:tr>
      <w:tr>
        <w:tc>
          <w:tcPr>
					</w:tcPr>
          <w:p>
            <w:r>
              <w:rPr>
                <w:b/>
              </w:rPr>
              <w:t>Description</w:t>
            </w:r>
          </w:p>
        </w:tc>
        <w:tc>
          <w:tcPr>
					</w:tcPr>
          <w:p>
            <w:r>
              <w:t>The PI shall manage and perform their nominal mode-transitions without needing more than one telecommand.</w:t>
            </w:r>
          </w:p>
        </w:tc>
      </w:tr>
      <w:tr>
        <w:tc>
          <w:tcPr>
					</w:tcPr>
          <w:p>
            <w:r>
              <w:rPr>
                <w:b/>
              </w:rPr>
              <w:t>Validation Method</w:t>
            </w:r>
          </w:p>
        </w:tc>
        <w:tc>
          <w:tcPr>
					</w:tcPr>
          <w:p>
            <w:r>
              <w:rPr>
                <w:b/>
              </w:rPr>
              <w:t>T</w:t>
            </w:r>
          </w:p>
        </w:tc>
      </w:tr>
    </w:tbl>
    <w:p>
      <w:r>
        <w:t>EIDA-2812</w:t>
      </w:r>
    </w:p>
    <w:p>
      <w:pPr>
        <w:pStyle w:val="Heading3"/>
      </w:pPr>
      <w:r>
        <w:t>SpaceWire Interface</w:t>
      </w:r>
    </w:p>
    <w:tbl>
      <w:tblPr>
        <w:tblW w:w="5000" w:type="pct"/>
        <w:tblStyle w:val="TableGridFirstRowColummShadow"/>
      </w:tblPr>
      <w:tr>
        <w:tc>
          <w:tcPr>
            <w:tcW w:w="1000" w:type="pct"/>
          </w:tcPr>
          <w:p>
            <w:r>
              <w:rPr>
                <w:b/>
              </w:rPr>
              <w:t>Name</w:t>
            </w:r>
          </w:p>
        </w:tc>
        <w:tc>
          <w:tcPr>
					</w:tcPr>
          <w:p>
            <w:r>
              <w:rPr>
                <w:b/>
              </w:rPr>
              <w:t>R-225</w:t>
            </w:r>
          </w:p>
        </w:tc>
      </w:tr>
      <w:tr>
        <w:tc>
          <w:tcPr>
					</w:tcPr>
          <w:p>
            <w:r>
              <w:rPr>
                <w:b/>
              </w:rPr>
              <w:t>Description</w:t>
            </w:r>
          </w:p>
        </w:tc>
        <w:tc>
          <w:tcPr>
					</w:tcPr>
          <w:p>
            <w:r>
              <w:t>The PI shall establish a connection on the S/C SpaceWire link after power ON.</w:t>
            </w:r>
          </w:p>
        </w:tc>
      </w:tr>
      <w:tr>
        <w:tc>
          <w:tcPr>
					</w:tcPr>
          <w:p>
            <w:r>
              <w:rPr>
                <w:b/>
              </w:rPr>
              <w:t>Validation Method</w:t>
            </w:r>
          </w:p>
        </w:tc>
        <w:tc>
          <w:tcPr>
					</w:tcPr>
          <w:p>
            <w:r>
              <w:rPr>
                <w:b/>
              </w:rPr>
              <w:t>T</w:t>
            </w:r>
          </w:p>
        </w:tc>
      </w:tr>
    </w:tbl>
    <w:p>
      <w:r>
        <w:t>EIDA-3014</w:t>
      </w:r>
    </w:p>
    <w:p>
      <w:r>
        <w:t/>
      </w:r>
    </w:p>
    <w:p>
      <w:pPr>
        <w:pStyle w:val="Heading2"/>
      </w:pPr>
      <w:r>
        <w:t>Adaptation and Missionization</w:t>
      </w:r>
    </w:p>
    <w:p>
      <w:pPr>
        <w:pStyle w:val="Heading3"/>
      </w:pPr>
      <w:r>
        <w:t>Off-Line Operations</w:t>
      </w:r>
    </w:p>
    <w:tbl>
      <w:tblPr>
        <w:tblW w:w="5000" w:type="pct"/>
        <w:tblStyle w:val="TableGridFirstRowColummShadow"/>
      </w:tblPr>
      <w:tr>
        <w:tc>
          <w:tcPr>
            <w:tcW w:w="1000" w:type="pct"/>
          </w:tcPr>
          <w:p>
            <w:r>
              <w:rPr>
                <w:b/>
              </w:rPr>
              <w:t>Name</w:t>
            </w:r>
          </w:p>
        </w:tc>
        <w:tc>
          <w:tcPr>
					</w:tcPr>
          <w:p>
            <w:r>
              <w:rPr>
                <w:b/>
              </w:rPr>
              <w:t>R-366</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EIDA-333</w:t>
      </w:r>
    </w:p>
    <w:p>
      <w:pPr>
        <w:pStyle w:val="Heading2"/>
      </w:pPr>
      <w:r>
        <w:t>Computer Resource</w:t>
      </w:r>
    </w:p>
    <w:p>
      <w:pPr>
        <w:pStyle w:val="Heading2"/>
      </w:pPr>
      <w:r>
        <w:t>Security</w:t>
      </w:r>
    </w:p>
    <w:p>
      <w:pPr>
        <w:pStyle w:val="Heading2"/>
      </w:pPr>
      <w:r>
        <w:t>Safety</w:t>
      </w:r>
    </w:p>
    <w:p>
      <w:pPr>
        <w:pStyle w:val="Heading3"/>
      </w:pPr>
      <w:r>
        <w:t>Instrument Autonomy and FDIR</w:t>
      </w:r>
    </w:p>
    <w:tbl>
      <w:tblPr>
        <w:tblW w:w="5000" w:type="pct"/>
        <w:tblStyle w:val="TableGridFirstRowColummShadow"/>
      </w:tblPr>
      <w:tr>
        <w:tc>
          <w:tcPr>
            <w:tcW w:w="1000" w:type="pct"/>
          </w:tcPr>
          <w:p>
            <w:r>
              <w:rPr>
                <w:b/>
              </w:rPr>
              <w:t>Name</w:t>
            </w:r>
          </w:p>
        </w:tc>
        <w:tc>
          <w:tcPr>
					</w:tcPr>
          <w:p>
            <w:r>
              <w:rPr>
                <w:b/>
              </w:rPr>
              <w:t>R-407</w:t>
            </w:r>
          </w:p>
        </w:tc>
      </w:tr>
      <w:tr>
        <w:tc>
          <w:tcPr>
					</w:tcPr>
          <w:p>
            <w:r>
              <w:rPr>
                <w:b/>
              </w:rPr>
              <w:t>Description</w:t>
            </w:r>
          </w:p>
        </w:tc>
        <w:tc>
          <w:tcPr>
					</w:tcPr>
          <w:p>
            <w:r>
              <w:t xml:space="preserve">The PI shall comply with the requirements regarding FDIR and Onboard Reconfiguration Handling as specified in the section 2.2.2 and section 2.2.3 of </w:t>
            </w:r>
            <w:hyperlink w:anchor="NR-27">
              <w:r>
                <w:rPr>
                  <w:i/>
                </w:rPr>
                <w:t>NR-27</w:t>
              </w:r>
            </w:hyperlink>
            <w:r>
              <w:t>.</w:t>
            </w:r>
          </w:p>
        </w:tc>
      </w:tr>
      <w:tr>
        <w:tc>
          <w:tcPr>
					</w:tcPr>
          <w:p>
            <w:r>
              <w:rPr>
                <w:b/>
              </w:rPr>
              <w:t>Validation Method</w:t>
            </w:r>
          </w:p>
        </w:tc>
        <w:tc>
          <w:tcPr>
					</w:tcPr>
          <w:p>
            <w:r>
              <w:rPr>
                <w:b/>
              </w:rPr>
              <w:t>T</w:t>
            </w:r>
          </w:p>
        </w:tc>
      </w:tr>
    </w:tbl>
    <w:p>
      <w:r>
        <w:t>EIDA-3074</w:t>
      </w:r>
    </w:p>
    <w:tbl>
      <w:tblPr>
        <w:tblW w:w="5000" w:type="pct"/>
        <w:tblStyle w:val="TableGridFirstRowColummShadow"/>
      </w:tblPr>
      <w:tr>
        <w:tc>
          <w:tcPr>
            <w:tcW w:w="1000" w:type="pct"/>
          </w:tcPr>
          <w:p>
            <w:r>
              <w:rPr>
                <w:b/>
              </w:rPr>
              <w:t>Name</w:t>
            </w:r>
          </w:p>
        </w:tc>
        <w:tc>
          <w:tcPr>
					</w:tcPr>
          <w:p>
            <w:r>
              <w:rPr>
                <w:b/>
              </w:rPr>
              <w:t>R-260</w:t>
            </w:r>
          </w:p>
        </w:tc>
      </w:tr>
      <w:tr>
        <w:tc>
          <w:tcPr>
					</w:tcPr>
          <w:p>
            <w:r>
              <w:rPr>
                <w:b/>
              </w:rPr>
              <w:t>Description</w:t>
            </w:r>
          </w:p>
        </w:tc>
        <w:tc>
          <w:tcPr>
					</w:tcPr>
          <w:p>
            <w:r>
              <w:t>The PI shall ensure that internal safety logic are implemented to prevent inadvertent commanding of mode transitions, in case forbidden mode transitions are identified</w:t>
            </w:r>
          </w:p>
        </w:tc>
      </w:tr>
      <w:tr>
        <w:tc>
          <w:tcPr>
					</w:tcPr>
          <w:p>
            <w:r>
              <w:rPr>
                <w:b/>
              </w:rPr>
              <w:t>Validation Method</w:t>
            </w:r>
          </w:p>
        </w:tc>
        <w:tc>
          <w:tcPr>
					</w:tcPr>
          <w:p>
            <w:r>
              <w:rPr>
                <w:b/>
              </w:rPr>
              <w:t>T</w:t>
            </w:r>
          </w:p>
        </w:tc>
      </w:tr>
    </w:tbl>
    <w:p>
      <w:r>
        <w:t>EIDA-3075</w:t>
      </w:r>
    </w:p>
    <w:tbl>
      <w:tblPr>
        <w:tblW w:w="5000" w:type="pct"/>
        <w:tblStyle w:val="TableGridFirstRowColummShadow"/>
      </w:tblPr>
      <w:tr>
        <w:tc>
          <w:tcPr>
            <w:tcW w:w="1000" w:type="pct"/>
          </w:tcPr>
          <w:p>
            <w:r>
              <w:rPr>
                <w:b/>
              </w:rPr>
              <w:t>Name</w:t>
            </w:r>
          </w:p>
        </w:tc>
        <w:tc>
          <w:tcPr>
					</w:tcPr>
          <w:p>
            <w:r>
              <w:rPr>
                <w:b/>
              </w:rPr>
              <w:t>R-261</w:t>
            </w:r>
          </w:p>
        </w:tc>
      </w:tr>
      <w:tr>
        <w:tc>
          <w:tcPr>
					</w:tcPr>
          <w:p>
            <w:r>
              <w:rPr>
                <w:b/>
              </w:rPr>
              <w:t>Description</w:t>
            </w:r>
          </w:p>
        </w:tc>
        <w:tc>
          <w:tcPr>
					</w:tcPr>
          <w:p>
            <w:r>
              <w:t xml:space="preserve">The PI shall implement a connection test service (Service 17) according to the specifications given chapter 3 of </w:t>
            </w:r>
            <w:hyperlink w:anchor="NR-27">
              <w:r>
                <w:rPr>
                  <w:i/>
                </w:rPr>
                <w:t>NR-27</w:t>
              </w:r>
            </w:hyperlink>
            <w:r>
              <w:t>.</w:t>
            </w:r>
          </w:p>
        </w:tc>
      </w:tr>
      <w:tr>
        <w:tc>
          <w:tcPr>
					</w:tcPr>
          <w:p>
            <w:r>
              <w:rPr>
                <w:b/>
              </w:rPr>
              <w:t>Validation Method</w:t>
            </w:r>
          </w:p>
        </w:tc>
        <w:tc>
          <w:tcPr>
					</w:tcPr>
          <w:p>
            <w:r>
              <w:rPr>
                <w:b/>
              </w:rPr>
              <w:t>T</w:t>
            </w:r>
          </w:p>
        </w:tc>
      </w:tr>
    </w:tbl>
    <w:p>
      <w:r>
        <w:t>EIDA-3076</w:t>
      </w:r>
    </w:p>
    <w:tbl>
      <w:tblPr>
        <w:tblW w:w="5000" w:type="pct"/>
        <w:tblStyle w:val="TableGridFirstRowColummShadow"/>
      </w:tblPr>
      <w:tr>
        <w:tc>
          <w:tcPr>
            <w:tcW w:w="1000" w:type="pct"/>
          </w:tcPr>
          <w:p>
            <w:r>
              <w:rPr>
                <w:b/>
              </w:rPr>
              <w:t>Name</w:t>
            </w:r>
          </w:p>
        </w:tc>
        <w:tc>
          <w:tcPr>
					</w:tcPr>
          <w:p>
            <w:r>
              <w:rPr>
                <w:b/>
              </w:rPr>
              <w:t>R-264</w:t>
            </w:r>
          </w:p>
        </w:tc>
      </w:tr>
      <w:tr>
        <w:tc>
          <w:tcPr>
					</w:tcPr>
          <w:p>
            <w:r>
              <w:rPr>
                <w:b/>
              </w:rPr>
              <w:t>Description</w:t>
            </w:r>
          </w:p>
        </w:tc>
        <w:tc>
          <w:tcPr>
					</w:tcPr>
          <w:p>
            <w:r>
              <w:t>The PI shall ensure that anomaly Instrument reports, if any, are generated only once per anomaly occurrence even if the anomaly is detected during successive cycles.</w:t>
            </w:r>
          </w:p>
        </w:tc>
      </w:tr>
      <w:tr>
        <w:tc>
          <w:tcPr>
					</w:tcPr>
          <w:p>
            <w:r>
              <w:rPr>
                <w:b/>
              </w:rPr>
              <w:t>Validation Method</w:t>
            </w:r>
          </w:p>
        </w:tc>
        <w:tc>
          <w:tcPr>
					</w:tcPr>
          <w:p>
            <w:r>
              <w:rPr>
                <w:b/>
              </w:rPr>
              <w:t>T</w:t>
            </w:r>
          </w:p>
        </w:tc>
      </w:tr>
    </w:tbl>
    <w:p>
      <w:r>
        <w:t>EIDA-3038</w:t>
      </w:r>
    </w:p>
    <w:tbl>
      <w:tblPr>
        <w:tblW w:w="5000" w:type="pct"/>
        <w:tblStyle w:val="TableGridFirstRowColummShadow"/>
      </w:tblPr>
      <w:tr>
        <w:tc>
          <w:tcPr>
            <w:tcW w:w="1000" w:type="pct"/>
          </w:tcPr>
          <w:p>
            <w:r>
              <w:rPr>
                <w:b/>
              </w:rPr>
              <w:t>Name</w:t>
            </w:r>
          </w:p>
        </w:tc>
        <w:tc>
          <w:tcPr>
					</w:tcPr>
          <w:p>
            <w:r>
              <w:rPr>
                <w:b/>
              </w:rPr>
              <w:t>R-266</w:t>
            </w:r>
          </w:p>
        </w:tc>
      </w:tr>
      <w:tr>
        <w:tc>
          <w:tcPr>
					</w:tcPr>
          <w:p>
            <w:r>
              <w:rPr>
                <w:b/>
              </w:rPr>
              <w:t>Description</w:t>
            </w:r>
          </w:p>
        </w:tc>
        <w:tc>
          <w:tcPr>
					</w:tcPr>
          <w:p>
            <w:r>
              <w:t>The PI shall identify instrument modes in terms of both hardware and software</w:t>
            </w:r>
          </w:p>
        </w:tc>
      </w:tr>
      <w:tr>
        <w:tc>
          <w:tcPr>
					</w:tcPr>
          <w:p>
            <w:r>
              <w:rPr>
                <w:b/>
              </w:rPr>
              <w:t>Validation Method</w:t>
            </w:r>
          </w:p>
        </w:tc>
        <w:tc>
          <w:tcPr>
					</w:tcPr>
          <w:p>
            <w:r>
              <w:rPr>
                <w:b/>
              </w:rPr>
              <w:t>T</w:t>
            </w:r>
          </w:p>
        </w:tc>
      </w:tr>
    </w:tbl>
    <w:p>
      <w:r>
        <w:t>EIDA-3086</w:t>
      </w:r>
    </w:p>
    <w:tbl>
      <w:tblPr>
        <w:tblW w:w="5000" w:type="pct"/>
        <w:tblStyle w:val="TableGridFirstRowColummShadow"/>
      </w:tblPr>
      <w:tr>
        <w:tc>
          <w:tcPr>
            <w:tcW w:w="1000" w:type="pct"/>
          </w:tcPr>
          <w:p>
            <w:r>
              <w:rPr>
                <w:b/>
              </w:rPr>
              <w:t>Name</w:t>
            </w:r>
          </w:p>
        </w:tc>
        <w:tc>
          <w:tcPr>
					</w:tcPr>
          <w:p>
            <w:r>
              <w:rPr>
                <w:b/>
              </w:rPr>
              <w:t>R-269</w:t>
            </w:r>
          </w:p>
        </w:tc>
      </w:tr>
      <w:tr>
        <w:tc>
          <w:tcPr>
					</w:tcPr>
          <w:p>
            <w:r>
              <w:rPr>
                <w:b/>
              </w:rPr>
              <w:t>Description</w:t>
            </w:r>
          </w:p>
        </w:tc>
        <w:tc>
          <w:tcPr>
					</w:tcPr>
          <w:p>
            <w:r>
              <w:t>The PI shall ensure that telemetry provides unambiguous identification of the modes in periodic HK telemetry and mode transitions in event telemetry.</w:t>
            </w:r>
          </w:p>
        </w:tc>
      </w:tr>
      <w:tr>
        <w:tc>
          <w:tcPr>
					</w:tcPr>
          <w:p>
            <w:r>
              <w:rPr>
                <w:b/>
              </w:rPr>
              <w:t>Validation Method</w:t>
            </w:r>
          </w:p>
        </w:tc>
        <w:tc>
          <w:tcPr>
					</w:tcPr>
          <w:p>
            <w:r>
              <w:rPr>
                <w:b/>
              </w:rPr>
              <w:t>T</w:t>
            </w:r>
          </w:p>
        </w:tc>
      </w:tr>
    </w:tbl>
    <w:p>
      <w:r>
        <w:t>EIDA-3089</w:t>
      </w:r>
    </w:p>
    <w:tbl>
      <w:tblPr>
        <w:tblW w:w="5000" w:type="pct"/>
        <w:tblStyle w:val="TableGridFirstRowColummShadow"/>
      </w:tblPr>
      <w:tr>
        <w:tc>
          <w:tcPr>
            <w:tcW w:w="1000" w:type="pct"/>
          </w:tcPr>
          <w:p>
            <w:r>
              <w:rPr>
                <w:b/>
              </w:rPr>
              <w:t>Name</w:t>
            </w:r>
          </w:p>
        </w:tc>
        <w:tc>
          <w:tcPr>
					</w:tcPr>
          <w:p>
            <w:r>
              <w:rPr>
                <w:b/>
              </w:rPr>
              <w:t>R-270</w:t>
            </w:r>
          </w:p>
        </w:tc>
      </w:tr>
      <w:tr>
        <w:tc>
          <w:tcPr>
					</w:tcPr>
          <w:p>
            <w:r>
              <w:rPr>
                <w:b/>
              </w:rPr>
              <w:t>Description</w:t>
            </w:r>
          </w:p>
        </w:tc>
        <w:tc>
          <w:tcPr>
					</w:tcPr>
          <w:p>
            <w:r>
              <w:t>The PI shall ensure that after power-up, each instrument have a safe and welldefined initial mode that is fully reproducible.</w:t>
            </w:r>
          </w:p>
        </w:tc>
      </w:tr>
      <w:tr>
        <w:tc>
          <w:tcPr>
					</w:tcPr>
          <w:p>
            <w:r>
              <w:rPr>
                <w:b/>
              </w:rPr>
              <w:t>Validation Method</w:t>
            </w:r>
          </w:p>
        </w:tc>
        <w:tc>
          <w:tcPr>
					</w:tcPr>
          <w:p>
            <w:r>
              <w:rPr>
                <w:b/>
              </w:rPr>
              <w:t>T</w:t>
            </w:r>
          </w:p>
        </w:tc>
      </w:tr>
    </w:tbl>
    <w:p>
      <w:r>
        <w:t>EIDA-3090</w:t>
      </w:r>
    </w:p>
    <w:tbl>
      <w:tblPr>
        <w:tblW w:w="5000" w:type="pct"/>
        <w:tblStyle w:val="TableGridFirstRowColummShadow"/>
      </w:tblPr>
      <w:tr>
        <w:tc>
          <w:tcPr>
            <w:tcW w:w="1000" w:type="pct"/>
          </w:tcPr>
          <w:p>
            <w:r>
              <w:rPr>
                <w:b/>
              </w:rPr>
              <w:t>Name</w:t>
            </w:r>
          </w:p>
        </w:tc>
        <w:tc>
          <w:tcPr>
					</w:tcPr>
          <w:p>
            <w:r>
              <w:rPr>
                <w:b/>
              </w:rPr>
              <w:t>R-278</w:t>
            </w:r>
          </w:p>
        </w:tc>
      </w:tr>
      <w:tr>
        <w:tc>
          <w:tcPr>
					</w:tcPr>
          <w:p>
            <w:r>
              <w:rPr>
                <w:b/>
              </w:rPr>
              <w:t>Description</w:t>
            </w:r>
          </w:p>
        </w:tc>
        <w:tc>
          <w:tcPr>
					</w:tcPr>
          <w:p>
            <w:r>
              <w:t>The PI shall report in instrument HK telemetry all the mode transitions and reason of them</w:t>
            </w:r>
          </w:p>
        </w:tc>
      </w:tr>
      <w:tr>
        <w:tc>
          <w:tcPr>
					</w:tcPr>
          <w:p>
            <w:r>
              <w:rPr>
                <w:b/>
              </w:rPr>
              <w:t>Validation Method</w:t>
            </w:r>
          </w:p>
        </w:tc>
        <w:tc>
          <w:tcPr>
					</w:tcPr>
          <w:p>
            <w:r>
              <w:rPr>
                <w:b/>
              </w:rPr>
              <w:t>T</w:t>
            </w:r>
          </w:p>
        </w:tc>
      </w:tr>
    </w:tbl>
    <w:p>
      <w:r>
        <w:t>EIDA-3106</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Software Design and Interface</w:t>
      </w:r>
    </w:p>
    <w:tbl>
      <w:tblPr>
        <w:tblW w:w="5000" w:type="pct"/>
        <w:tblStyle w:val="TableGridFirstRowColummShadow"/>
      </w:tblPr>
      <w:tr>
        <w:tc>
          <w:tcPr>
            <w:tcW w:w="1000" w:type="pct"/>
          </w:tcPr>
          <w:p>
            <w:r>
              <w:rPr>
                <w:b/>
              </w:rPr>
              <w:t>Name</w:t>
            </w:r>
          </w:p>
        </w:tc>
        <w:tc>
          <w:tcPr>
					</w:tcPr>
          <w:p>
            <w:r>
              <w:rPr>
                <w:b/>
              </w:rPr>
              <w:t>R-406</w:t>
            </w:r>
          </w:p>
        </w:tc>
      </w:tr>
      <w:tr>
        <w:tc>
          <w:tcPr>
					</w:tcPr>
          <w:p>
            <w:r>
              <w:rPr>
                <w:b/>
              </w:rPr>
              <w:t>Description</w:t>
            </w:r>
          </w:p>
        </w:tc>
        <w:tc>
          <w:tcPr>
					</w:tcPr>
          <w:p>
            <w:r>
              <w:t xml:space="preserve">The PI shall comply with the requirements regarding Onboard Processors, Software and Memory Management as specified in section 2.3.2 of </w:t>
            </w:r>
            <w:hyperlink w:anchor="NR-27">
              <w:r>
                <w:rPr>
                  <w:i/>
                </w:rPr>
                <w:t>NR-27</w:t>
              </w:r>
            </w:hyperlink>
            <w:r>
              <w:t>.</w:t>
            </w:r>
          </w:p>
        </w:tc>
      </w:tr>
      <w:tr>
        <w:tc>
          <w:tcPr>
					</w:tcPr>
          <w:p>
            <w:r>
              <w:rPr>
                <w:b/>
              </w:rPr>
              <w:t>Validation Method</w:t>
            </w:r>
          </w:p>
        </w:tc>
        <w:tc>
          <w:tcPr>
					</w:tcPr>
          <w:p>
            <w:r>
              <w:rPr>
                <w:b/>
              </w:rPr>
              <w:t>T</w:t>
            </w:r>
          </w:p>
        </w:tc>
      </w:tr>
    </w:tbl>
    <w:p>
      <w:r>
        <w:t>EIDA-3079</w:t>
      </w:r>
    </w:p>
    <w:p>
      <w:pPr>
        <w:pStyle w:val="Heading3"/>
      </w:pPr>
      <w:r>
        <w:t>Mission Operations</w:t>
      </w:r>
    </w:p>
    <w:tbl>
      <w:tblPr>
        <w:tblW w:w="5000" w:type="pct"/>
        <w:tblStyle w:val="TableGridFirstRowColummShadow"/>
      </w:tblPr>
      <w:tr>
        <w:tc>
          <w:tcPr>
            <w:tcW w:w="1000" w:type="pct"/>
          </w:tcPr>
          <w:p>
            <w:r>
              <w:rPr>
                <w:b/>
              </w:rPr>
              <w:t>Name</w:t>
            </w:r>
          </w:p>
        </w:tc>
        <w:tc>
          <w:tcPr>
					</w:tcPr>
          <w:p>
            <w:r>
              <w:rPr>
                <w:b/>
              </w:rPr>
              <w:t>R-3333</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w:t>
      </w:r>
    </w:p>
    <w:p>
      <w:pPr>
        <w:pStyle w:val="Heading2"/>
      </w:pPr>
      <w:r>
        <w:t>Software Maintenance</w:t>
      </w:r>
    </w:p>
    <w:p>
      <w:pPr>
        <w:pStyle w:val="Heading3"/>
      </w:pPr>
      <w:r>
        <w:t>Payload On-Board Software Maintenance</w:t>
      </w:r>
    </w:p>
    <w:tbl>
      <w:tblPr>
        <w:tblW w:w="5000" w:type="pct"/>
        <w:tblStyle w:val="TableGridFirstRowColummShadow"/>
      </w:tblPr>
      <w:tr>
        <w:tc>
          <w:tcPr>
            <w:tcW w:w="1000" w:type="pct"/>
          </w:tcPr>
          <w:p>
            <w:r>
              <w:rPr>
                <w:b/>
              </w:rPr>
              <w:t>Name</w:t>
            </w:r>
          </w:p>
        </w:tc>
        <w:tc>
          <w:tcPr>
					</w:tcPr>
          <w:p>
            <w:r>
              <w:rPr>
                <w:b/>
              </w:rPr>
              <w:t>R-188</w:t>
            </w:r>
          </w:p>
        </w:tc>
      </w:tr>
      <w:tr>
        <w:tc>
          <w:tcPr>
					</w:tcPr>
          <w:p>
            <w:r>
              <w:rPr>
                <w:b/>
              </w:rPr>
              <w:t>Description</w:t>
            </w:r>
          </w:p>
        </w:tc>
        <w:tc>
          <w:tcPr>
					</w:tcPr>
          <w:p>
            <w:r>
              <w:t xml:space="preserve">The PI shall comply with the requirements specified in the Solar Orbiter Operation Requirements Document </w:t>
            </w:r>
            <w:hyperlink w:anchor="NR-27">
              <w:r>
                <w:rPr>
                  <w:i/>
                </w:rPr>
                <w:t>NR-27</w:t>
              </w:r>
            </w:hyperlink>
            <w:r>
              <w:t xml:space="preserve"> for Onboard Processors and Software (Section 2.3.2); Memory Management Service (Section 3.7) and referenced documents therein.</w:t>
            </w:r>
          </w:p>
        </w:tc>
      </w:tr>
      <w:tr>
        <w:tc>
          <w:tcPr>
					</w:tcPr>
          <w:p>
            <w:r>
              <w:rPr>
                <w:b/>
              </w:rPr>
              <w:t>Validation Method</w:t>
            </w:r>
          </w:p>
        </w:tc>
        <w:tc>
          <w:tcPr>
					</w:tcPr>
          <w:p>
            <w:r>
              <w:rPr>
                <w:b/>
              </w:rPr>
              <w:t>T</w:t>
            </w:r>
          </w:p>
        </w:tc>
      </w:tr>
    </w:tbl>
    <w:p>
      <w:r>
        <w:t>EIDA-3406</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1"/>
      </w:pPr>
      <w:r>
        <w:t>Logical Models</w:t>
      </w:r>
    </w:p>
    <w:p>
      <w:pPr>
        <w:pStyle w:val="Heading1"/>
      </w:pPr>
      <w:r>
        <w:t>Annex: TBCs/TBDs</w:t>
      </w:r>
    </w:p>
    <w:p>
      <w:r>
        <w:rPr>
          <w:b/>
        </w:rPr>
        <w:t>TBCs</w:t>
      </w:r>
    </w:p>
    <w:p>
      <w:bookmarkStart w:id="3" w:name="TBC Nominal Life"/>
      <w:r>
        <w:rPr>
          <w:i/>
        </w:rPr>
        <w:t>TBC Nominal Life</w:t>
      </w:r>
      <w:r>
        <w:t xml:space="preserve">: </w:t>
      </w:r>
      <w:r>
        <w:t>Nominal Life (7.1 years)</w:t>
      </w:r>
      <w:bookmarkEnd w:id="3"/>
    </w:p>
    <w:p>
      <w:bookmarkStart w:id="4" w:name="TBC Extended Life"/>
      <w:r>
        <w:rPr>
          <w:i/>
        </w:rPr>
        <w:t>TBC Extended Life</w:t>
      </w:r>
      <w:r>
        <w:t xml:space="preserve">: </w:t>
      </w:r>
      <w:r>
        <w:t>Extended Life (10.1 years)</w:t>
      </w:r>
      <w:bookmarkEnd w:id="4"/>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