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SW_modes.png"/>
	<Relationship Id="rId7" Type="http://schemas.openxmlformats.org/officeDocument/2006/relationships/image" Target="media/ICU_IF.png"/>
	<Relationship Id="rId8" Type="http://schemas.openxmlformats.org/officeDocument/2006/relationships/image" Target="media/ICU_HW_schema.png"/>
	<Relationship Id="rId9" Type="http://schemas.openxmlformats.org/officeDocument/2006/relationships/image" Target="media/ICU_HW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Software Requirements Specification defines and describes the requirements of the EPD ICU Software of the SRG Mission. The requirements described in this document are derived from </w:t>
      </w:r>
      <w:hyperlink w:anchor="AD1">
        <w:r>
          <w:rPr>
            <w:i/>
          </w:rPr>
          <w:t>AD1</w:t>
        </w:r>
      </w:hyperlink>
      <w:r>
        <w:t>.</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1"/>
      </w:pPr>
      <w:r>
        <w:t>Applicable Documents</w:t>
      </w:r>
    </w:p>
    <w:p>
      <w:pPr>
        <w:pStyle w:val="ADRD"/>
      </w:pPr>
      <w:bookmarkStart w:id="0" w:name="AD1"/>
      <w:r>
        <w:t>AD1</w:t>
      </w:r>
      <w:r>
        <w:rPr>
          <w:i/>
        </w:rPr>
        <w:tab/>
        <w:t>SRG-EPD Software System Specification</w:t>
      </w:r>
      <w:r>
        <w:t>. SRG-EPD-SSS-0001</w:t>
      </w:r>
      <w:bookmarkEnd w:id="0"/>
    </w:p>
    <w:p>
      <w:pPr>
        <w:pStyle w:val="ADRD"/>
      </w:pPr>
      <w:bookmarkStart w:id="1" w:name="AD2"/>
      <w:r>
        <w:t>AD2</w:t>
      </w:r>
      <w:r>
        <w:rPr>
          <w:i/>
        </w:rPr>
        <w:tab/>
        <w:t>SRG-EPD TM-TC Interface Control Document</w:t>
      </w:r>
      <w:r>
        <w:t>. SRG-EPD-ICD-0001</w:t>
      </w:r>
      <w:bookmarkEnd w:id="1"/>
    </w:p>
    <w:p>
      <w:pPr>
        <w:pStyle w:val="ADRD"/>
      </w:pPr>
      <w:bookmarkStart w:id="2" w:name="AD3"/>
      <w:r>
        <w:t>AD3</w:t>
      </w:r>
      <w:r>
        <w:rPr>
          <w:i/>
        </w:rPr>
        <w:tab/>
        <w:t>Software</w:t>
      </w:r>
      <w:r>
        <w:t>. ECSS-E-ST-40C. 06/03/2009</w:t>
      </w:r>
      <w:bookmarkEnd w:id="2"/>
    </w:p>
    <w:p>
      <w:pPr>
        <w:pStyle w:val="ADRD"/>
      </w:pPr>
      <w:bookmarkStart w:id="3" w:name="AD4"/>
      <w:r>
        <w:t>AD4</w:t>
      </w:r>
      <w:r>
        <w:rPr>
          <w:i/>
        </w:rPr>
        <w:tab/>
        <w:t>Software Product Assurance</w:t>
      </w:r>
      <w:r>
        <w:t>. ECSS-Q-ST-80C. 06/03/2009</w:t>
      </w:r>
      <w:bookmarkEnd w:id="3"/>
    </w:p>
    <w:p>
      <w:pPr>
        <w:pStyle w:val="ADRD"/>
      </w:pPr>
      <w:bookmarkStart w:id="4" w:name="AD5"/>
      <w:r>
        <w:t>AD5</w:t>
      </w:r>
      <w:r>
        <w:rPr>
          <w:i/>
        </w:rPr>
        <w:tab/>
        <w:t>SRG-EPD Software Product Assurance Plan</w:t>
      </w:r>
      <w:r>
        <w:t>. SRG-EPD-SPA-0001</w:t>
      </w:r>
      <w:bookmarkEnd w:id="4"/>
    </w:p>
    <w:p>
      <w:pPr>
        <w:pStyle w:val="ADRD"/>
      </w:pPr>
      <w:bookmarkStart w:id="5" w:name="AD5"/>
      <w:r>
        <w:t>AD5</w:t>
      </w:r>
      <w:r>
        <w:rPr>
          <w:i/>
        </w:rPr>
        <w:tab/>
        <w:t>SRG-EPD Software Development Plan</w:t>
      </w:r>
      <w:r>
        <w:t>. SRG-EPD-SDP-0001</w:t>
      </w:r>
      <w:bookmarkEnd w:id="5"/>
    </w:p>
    <w:p>
      <w:pPr>
        <w:pStyle w:val="Heading1"/>
      </w:pPr>
      <w:r>
        <w:t>Reference Documents</w:t>
      </w:r>
    </w:p>
    <w:p>
      <w:pPr>
        <w:pStyle w:val="ADRD"/>
      </w:pPr>
      <w:bookmarkStart w:id="6" w:name="RD1"/>
      <w:r>
        <w:t>RD1</w:t>
      </w:r>
      <w:r>
        <w:rPr>
          <w:i/>
        </w:rPr>
        <w:tab/>
        <w:t>SRG-EPD Software System Specification</w:t>
      </w:r>
      <w:r>
        <w:t>. SRG-EPD-SSS-0001</w:t>
      </w:r>
      <w:bookmarkEnd w:id="6"/>
    </w:p>
    <w:p>
      <w:pPr>
        <w:pStyle w:val="ADRD"/>
      </w:pPr>
      <w:bookmarkStart w:id="7" w:name="RD2"/>
      <w:r>
        <w:t>RD2</w:t>
      </w:r>
      <w:r>
        <w:rPr>
          <w:i/>
        </w:rPr>
        <w:tab/>
        <w:t>Ground systems and operations - Telemetry and telecommand packet utilization</w:t>
      </w:r>
      <w:r>
        <w:t>. ECSS-E-ST-70-41C. 15/04/2016</w:t>
      </w:r>
      <w:bookmarkEnd w:id="7"/>
    </w:p>
    <w:p>
      <w:pPr>
        <w:pStyle w:val="ADRD"/>
      </w:pPr>
      <w:bookmarkStart w:id="8" w:name="RD3"/>
      <w:r>
        <w:t>RD3</w:t>
      </w:r>
      <w:r>
        <w:rPr>
          <w:i/>
        </w:rPr>
        <w:tab/>
        <w:t>SpaceWire - Links, nodes, routers and networks</w:t>
      </w:r>
      <w:r>
        <w:t>. ECSS-E-ST-50-12A. 24/01/2003</w:t>
      </w:r>
      <w:bookmarkEnd w:id="8"/>
    </w:p>
    <w:p>
      <w:pPr>
        <w:pStyle w:val="ADRD"/>
      </w:pPr>
      <w:bookmarkStart w:id="9" w:name="RD4"/>
      <w:r>
        <w:t>RD4</w:t>
      </w:r>
      <w:r>
        <w:rPr>
          <w:i/>
        </w:rPr>
        <w:tab/>
        <w:t>SpaceWire - CCSDS packet transfer protocol</w:t>
      </w:r>
      <w:r>
        <w:t>. ECSS-E-ST-50-53C</w:t>
      </w:r>
      <w:bookmarkEnd w:id="9"/>
    </w:p>
    <w:p>
      <w:pPr>
        <w:pStyle w:val="ADRD"/>
      </w:pPr>
      <w:bookmarkStart w:id="10" w:name="RD5"/>
      <w:r>
        <w:t>RD5</w:t>
      </w:r>
      <w:r>
        <w:rPr>
          <w:i/>
        </w:rPr>
        <w:tab/>
        <w:t>Space engineering. Electric and electronic</w:t>
      </w:r>
      <w:r>
        <w:t>. ECSS-E-20B issue 8 rev 0. 03/2007</w:t>
      </w:r>
      <w:bookmarkEnd w:id="10"/>
    </w:p>
    <w:p>
      <w:pPr>
        <w:pStyle w:val="ADRD"/>
      </w:pPr>
      <w:bookmarkStart w:id="11" w:name="RD6"/>
      <w:r>
        <w:t>RD6</w:t>
      </w:r>
      <w:r>
        <w:rPr>
          <w:i/>
        </w:rPr>
        <w:tab/>
        <w:t>Spacecraft discrete interfaces</w:t>
      </w:r>
      <w:r>
        <w:t>. ECSS-E-ST-50-14C</w:t>
      </w:r>
      <w:bookmarkEnd w:id="11"/>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Software Verification and Validation Plan</w:t>
      </w:r>
    </w:p>
    <w:p>
      <w:pPr>
        <w:pStyle w:val="TDA"/>
      </w:pPr>
      <w:r>
        <w:t>SW</w:t>
      </w:r>
      <w:r>
        <w:tab/>
        <w:t>Software</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Function and Purpose</w:t>
      </w:r>
    </w:p>
    <w:p>
      <w:r>
        <w:t>EPD ICU Software purpose is to provide support to EPD sensors. Each of the EPD sensors has some data processing capabilities either by software running in the sensor DPUs/microcontrollers or by logic functions. The main functionality, however, is running in the ICU. The principal functions of the ICU software are:</w:t>
      </w:r>
    </w:p>
    <w:p>
      <w:pPr>
        <w:pStyle w:val="ListParagraph"/>
        <w:numPr>
          <w:ilvl w:val="0"/>
          <w:numId w:val="1"/>
        </w:numPr>
      </w:pPr>
      <w:r>
        <w:t>To collect scientific data from the instruments periodically 1 Hz.</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All software will comply with the following specification, namely:</w:t>
      </w:r>
    </w:p>
    <w:p>
      <w:pPr>
        <w:pStyle w:val="ListParagraph"/>
        <w:numPr>
          <w:ilvl w:val="0"/>
          <w:numId w:val="2"/>
        </w:numPr>
      </w:pPr>
      <w:r>
        <w:t>Different areas of memory will be employed to store code, fixed constants and variable parameters of the in-flight software.</w:t>
      </w:r>
    </w:p>
    <w:p>
      <w:pPr>
        <w:pStyle w:val="ListParagraph"/>
        <w:numPr>
          <w:ilvl w:val="0"/>
          <w:numId w:val="2"/>
        </w:numPr>
      </w:pPr>
      <w:r>
        <w:t>The PROM memory will include minimum boot software able to manage EEPROM updates and hardware test functions.</w:t>
      </w:r>
    </w:p>
    <w:p>
      <w:pPr>
        <w:pStyle w:val="ListParagraph"/>
        <w:numPr>
          <w:ilvl w:val="0"/>
          <w:numId w:val="2"/>
        </w:numPr>
      </w:pPr>
      <w:r>
        <w:t>Independent software module memory updates will be supported.</w:t>
      </w:r>
    </w:p>
    <w:p>
      <w:pPr>
        <w:pStyle w:val="ListParagraph"/>
        <w:numPr>
          <w:ilvl w:val="0"/>
          <w:numId w:val="2"/>
        </w:numPr>
      </w:pPr>
      <w:r>
        <w:t>Instrument safety hazard will be avoided in the software design process.</w:t>
      </w:r>
    </w:p>
    <w:p>
      <w:pPr>
        <w:pStyle w:val="ListParagraph"/>
        <w:numPr>
          <w:ilvl w:val="0"/>
          <w:numId w:val="2"/>
        </w:numPr>
      </w:pPr>
      <w:r>
        <w:t>On-board software will acquire, store and telemeter the employed resources, including memory usage, central processor unit (CPU) usage and I/O usage.</w:t>
      </w:r>
    </w:p>
    <w:p>
      <w:pPr>
        <w:pStyle w:val="ListParagraph"/>
        <w:numPr>
          <w:ilvl w:val="0"/>
          <w:numId w:val="2"/>
        </w:numPr>
      </w:pPr>
      <w:r>
        <w:t>If a processor reset is detected, an event report will be generated.</w:t>
      </w:r>
    </w:p>
    <w:p>
      <w:pPr>
        <w:pStyle w:val="ListParagraph"/>
        <w:numPr>
          <w:ilvl w:val="0"/>
          <w:numId w:val="2"/>
        </w:numPr>
      </w:pPr>
      <w:r>
        <w:t>If a processor overload condition is detected, an event report will be generated.</w:t>
      </w:r>
    </w:p>
    <w:p>
      <w:pPr>
        <w:pStyle w:val="ListParagraph"/>
        <w:numPr>
          <w:ilvl w:val="0"/>
          <w:numId w:val="2"/>
        </w:numPr>
      </w:pPr>
      <w:r>
        <w:t>If an unexpected arithmetic overflow condition is detected, an event report will be generated.</w:t>
      </w:r>
    </w:p>
    <w:p>
      <w:pPr>
        <w:pStyle w:val="ListParagraph"/>
        <w:numPr>
          <w:ilvl w:val="0"/>
          <w:numId w:val="2"/>
        </w:numPr>
      </w:pPr>
      <w:r>
        <w:t>If an illegal program instruction is encountered during execution of a program code, an event report will be generated.</w:t>
      </w:r>
    </w:p>
    <w:p>
      <w:pPr>
        <w:pStyle w:val="ListParagraph"/>
        <w:numPr>
          <w:ilvl w:val="0"/>
          <w:numId w:val="2"/>
        </w:numPr>
      </w:pPr>
      <w:r>
        <w:t>If a data bus error is detected by software, an event report will be generated.</w:t>
      </w:r>
    </w:p>
    <w:p>
      <w:pPr>
        <w:pStyle w:val="ListParagraph"/>
        <w:numPr>
          <w:ilvl w:val="0"/>
          <w:numId w:val="2"/>
        </w:numPr>
      </w:pPr>
      <w:r>
        <w:t>If a memory corruption is detected by an EDAC, an event report will be generated.</w:t>
      </w:r>
    </w:p>
    <w:p>
      <w:pPr>
        <w:pStyle w:val="ListParagraph"/>
        <w:numPr>
          <w:ilvl w:val="0"/>
          <w:numId w:val="2"/>
        </w:numPr>
      </w:pPr>
      <w:r>
        <w:t>If a checksum error is detected, an event report will be generated.</w:t>
      </w:r>
    </w:p>
    <w:p>
      <w:pPr>
        <w:pStyle w:val="ListParagraph"/>
        <w:numPr>
          <w:ilvl w:val="0"/>
          <w:numId w:val="2"/>
        </w:numPr>
      </w:pPr>
      <w:r>
        <w:t>A modularized structure will be employed in the software design process.</w:t>
      </w:r>
    </w:p>
    <w:p>
      <w:pPr>
        <w:pStyle w:val="Heading3"/>
      </w:pPr>
      <w:r>
        <w:t>ICU Software Modes</w:t>
      </w:r>
    </w:p>
    <w:p>
      <w:r>
        <w:t xml:space="preserve">In </w:t>
      </w:r>
      <w:hyperlink w:anchor="ICU_SW_modes">
        <w:r>
          <w:rPr>
            <w:i/>
          </w:rPr>
          <w:t>ICU_SW_modes</w:t>
        </w:r>
      </w:hyperlink>
      <w:r>
        <w:t xml:space="preserve"> the modes of operation of SRG EPD ICUSW are represented.</w:t>
      </w:r>
    </w:p>
    <w:p>
      <w:bookmarkStart w:id="12" w:name="ICU_SW_modes"/>
      <w:r>
        <w:drawing>
          <wp:inline distT="0" distB="0" distL="0" distR="0">
            <wp:extent cx="5400000" cy="3468052"/>
            <wp:docPr id="1" name="Figure 1"/>
            <a:graphic xmlns:a="http://schemas.openxmlformats.org/drawingml/2006/main">
              <a:graphicData uri="http://schemas.openxmlformats.org/drawingml/2006/picture">
                <pic:pic xmlns:pic="http://schemas.openxmlformats.org/drawingml/2006/picture">
                  <pic:nvPicPr>
                    <pic:cNvPr id="1" name="SRS_images/ICU_SW_modes.png"/>
                    <pic:cNvPicPr/>
                  </pic:nvPicPr>
                  <pic:blipFill>
                    <a:blip r:embed="rId6"/>
                    <a:stretch>
                      <a:fillRect/>
                    </a:stretch>
                  </pic:blipFill>
                  <pic:spPr>
                    <a:xfrm>
                      <a:off x="0" y="0"/>
                      <a:ext cx="5400000" cy="3468052"/>
                    </a:xfrm>
                    <a:prstGeom prst="rect">
                      <a:avLst/>
                    </a:prstGeom>
                  </pic:spPr>
                </pic:pic>
              </a:graphicData>
            </a:graphic>
          </wp:inline>
        </w:drawing>
      </w:r>
      <w:bookmarkEnd w:id="12"/>
    </w:p>
    <w:p>
      <w:pPr>
        <w:pStyle w:val="Caption"/>
      </w:pPr>
      <w:r>
        <w:t>Figure 1: ICU SW operation modes</w:t>
      </w:r>
    </w:p>
    <w:p>
      <w:r>
        <w:t>The ICUSW shall be able to support the following modes:</w:t>
      </w:r>
    </w:p>
    <w:p>
      <w:pPr>
        <w:pStyle w:val="ListParagraph"/>
        <w:numPr>
          <w:ilvl w:val="0"/>
          <w:numId w:val="3"/>
        </w:numPr>
      </w:pPr>
      <w:r>
        <w:t>OFF: The ICU is not powered.</w:t>
      </w:r>
    </w:p>
    <w:p>
      <w:pPr>
        <w:pStyle w:val="ListParagraph"/>
        <w:numPr>
          <w:ilvl w:val="0"/>
          <w:numId w:val="3"/>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3"/>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cannot be executed. In SAFE mode the damaged application software images stored in EEPROM can be restored by means of patch telecommands.</w:t>
      </w:r>
    </w:p>
    <w:p>
      <w:pPr>
        <w:pStyle w:val="ListParagraph"/>
        <w:numPr>
          <w:ilvl w:val="0"/>
          <w:numId w:val="3"/>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3"/>
        </w:numPr>
      </w:pPr>
      <w:r>
        <w:t>OPERATIONAL: this mode is the mode in which EPD is fully operative and generates non-science as well as science data.</w:t>
      </w:r>
    </w:p>
    <w:p>
      <w:r>
        <w:t>Autonomous transitions are the following:</w:t>
      </w:r>
    </w:p>
    <w:p>
      <w:pPr>
        <w:pStyle w:val="ListParagraph"/>
        <w:numPr>
          <w:ilvl w:val="0"/>
          <w:numId w:val="4"/>
        </w:numPr>
      </w:pPr>
      <w:r>
        <w:t>BOOT to CONFIGURATION. This transition is triggered autonomously after a reset when application software is correctly loaded, the target mode is CONFIGURATION, and the control is passed to it.</w:t>
      </w:r>
    </w:p>
    <w:p>
      <w:pPr>
        <w:pStyle w:val="ListParagraph"/>
        <w:numPr>
          <w:ilvl w:val="0"/>
          <w:numId w:val="4"/>
        </w:numPr>
      </w:pPr>
      <w:r>
        <w:t>BOOT to OPERATIONAL. This transition is triggered autonomously after a reset when application software is correctly loaded, the target mode is OPERATIONAL, and the control is passed to it.</w:t>
      </w:r>
    </w:p>
    <w:p>
      <w:pPr>
        <w:pStyle w:val="ListParagraph"/>
        <w:numPr>
          <w:ilvl w:val="0"/>
          <w:numId w:val="4"/>
        </w:numPr>
      </w:pPr>
      <w:r>
        <w:t>BOOT to SAFE. This transition is triggered when application software cannot be loaded and the boot software remains in control of the ICU.</w:t>
      </w:r>
    </w:p>
    <w:p>
      <w:pPr>
        <w:pStyle w:val="ListParagraph"/>
        <w:numPr>
          <w:ilvl w:val="0"/>
          <w:numId w:val="4"/>
        </w:numPr>
      </w:pPr>
      <w:r>
        <w:t>SAFE to BOOT. This transition is triggered by a soft reset (fatal error detected such as bus error, memory access error, etc.) or a TC.</w:t>
      </w:r>
    </w:p>
    <w:p>
      <w:pPr>
        <w:pStyle w:val="ListParagraph"/>
        <w:numPr>
          <w:ilvl w:val="0"/>
          <w:numId w:val="4"/>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4"/>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Environmental Considerations</w:t>
      </w:r>
    </w:p>
    <w:p>
      <w:r>
        <w:t>This section provides an overview of the key hardware components. This section is intended for information only, and does not describe all of the details of the various items.</w:t>
      </w:r>
    </w:p>
    <w:p>
      <w:pPr>
        <w:pStyle w:val="Heading3"/>
      </w:pPr>
      <w:r>
        <w:t>General Description</w:t>
      </w:r>
    </w:p>
    <w:p>
      <w:hyperlink w:anchor="ICU_IF">
        <w:r>
          <w:rPr>
            <w:i/>
          </w:rPr>
          <w:t>ICU_IF</w:t>
        </w:r>
      </w:hyperlink>
      <w:r>
        <w:t xml:space="preserve"> illustrates the top-level interfaces that affect the EPD Instrument Control Unit Software.</w:t>
      </w:r>
    </w:p>
    <w:p>
      <w:bookmarkStart w:id="13" w:name="ICU_IF"/>
      <w:r>
        <w:drawing>
          <wp:inline distT="0" distB="0" distL="0" distR="0">
            <wp:extent cx="4815840" cy="3121152"/>
            <wp:docPr id="2" name="Figure 2"/>
            <a:graphic xmlns:a="http://schemas.openxmlformats.org/drawingml/2006/main">
              <a:graphicData uri="http://schemas.openxmlformats.org/drawingml/2006/picture">
                <pic:pic xmlns:pic="http://schemas.openxmlformats.org/drawingml/2006/picture">
                  <pic:nvPicPr>
                    <pic:cNvPr id="1" name="SRS_images/ICU_IF.png"/>
                    <pic:cNvPicPr/>
                  </pic:nvPicPr>
                  <pic:blipFill>
                    <a:blip r:embed="rId7"/>
                    <a:stretch>
                      <a:fillRect/>
                    </a:stretch>
                  </pic:blipFill>
                  <pic:spPr>
                    <a:xfrm>
                      <a:off x="0" y="0"/>
                      <a:ext cx="4815840" cy="3121152"/>
                    </a:xfrm>
                    <a:prstGeom prst="rect">
                      <a:avLst/>
                    </a:prstGeom>
                  </pic:spPr>
                </pic:pic>
              </a:graphicData>
            </a:graphic>
          </wp:inline>
        </w:drawing>
      </w:r>
      <w:bookmarkEnd w:id="13"/>
    </w:p>
    <w:p>
      <w:pPr>
        <w:pStyle w:val="Caption"/>
      </w:pPr>
      <w:r>
        <w:t>Figure 2: ICU interfaces</w:t>
      </w:r>
    </w:p>
    <w:p>
      <w:r>
        <w:t>EPD ICU provides the interface between the SRG Spacecraft C&amp;DH system and the EPD sensors. All information transfer between the EPD sensors and the Spacecraft/Ground flows through the ICU, including telemetry, commands and status. The EPD sensors communicate with the EPD ICU over a dedicated serial interface.</w:t>
      </w:r>
    </w:p>
    <w:p>
      <w:pPr>
        <w:pStyle w:val="Heading3"/>
      </w:pPr>
      <w:r>
        <w:t>Hardware Overview</w:t>
      </w:r>
    </w:p>
    <w:p>
      <w:r>
        <w:t xml:space="preserve">The EPD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_schema">
        <w:r>
          <w:rPr>
            <w:i/>
          </w:rPr>
          <w:t>ICU_HW_schema</w:t>
        </w:r>
      </w:hyperlink>
      <w:r>
        <w:t xml:space="preserve"> shows the basic HW diagram of the EPD's ICU.</w:t>
      </w:r>
    </w:p>
    <w:p>
      <w:bookmarkStart w:id="14" w:name="ICU_HW_schema"/>
      <w:r>
        <w:drawing>
          <wp:inline distT="0" distB="0" distL="0" distR="0">
            <wp:extent cx="4126992" cy="3035808"/>
            <wp:docPr id="3" name="Figure 3"/>
            <a:graphic xmlns:a="http://schemas.openxmlformats.org/drawingml/2006/main">
              <a:graphicData uri="http://schemas.openxmlformats.org/drawingml/2006/picture">
                <pic:pic xmlns:pic="http://schemas.openxmlformats.org/drawingml/2006/picture">
                  <pic:nvPicPr>
                    <pic:cNvPr id="1" name="SRS_images/ICU_HW_schema.png"/>
                    <pic:cNvPicPr/>
                  </pic:nvPicPr>
                  <pic:blipFill>
                    <a:blip r:embed="rId8"/>
                    <a:stretch>
                      <a:fillRect/>
                    </a:stretch>
                  </pic:blipFill>
                  <pic:spPr>
                    <a:xfrm>
                      <a:off x="0" y="0"/>
                      <a:ext cx="4126992" cy="3035808"/>
                    </a:xfrm>
                    <a:prstGeom prst="rect">
                      <a:avLst/>
                    </a:prstGeom>
                  </pic:spPr>
                </pic:pic>
              </a:graphicData>
            </a:graphic>
          </wp:inline>
        </w:drawing>
      </w:r>
      <w:bookmarkEnd w:id="14"/>
    </w:p>
    <w:p>
      <w:pPr>
        <w:pStyle w:val="Caption"/>
      </w:pPr>
      <w:r>
        <w:t>Figure 3: ICU hardware schema</w:t>
      </w:r>
    </w:p>
    <w:p>
      <w:r>
        <w:t>As it can be observed, the design is based on a FPGA that includes a LEON2 soft processor, the UART-LVDS links with the sensors, the SpaceWire cores and the interfaces with the LVPS and the memory.</w:t>
      </w:r>
    </w:p>
    <w:p>
      <w:pPr>
        <w:pStyle w:val="Heading2"/>
      </w:pPr>
      <w:r>
        <w:t>Relation with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rPr>
            <w:i/>
          </w:rPr>
          <w:t>ICU_HW_IFs</w:t>
        </w:r>
      </w:hyperlink>
      <w:r>
        <w:t>.</w:t>
      </w:r>
    </w:p>
    <w:p>
      <w:bookmarkStart w:id="15" w:name="ICU_HW_IFs"/>
      <w:r>
        <w:drawing>
          <wp:inline distT="0" distB="0" distL="0" distR="0">
            <wp:extent cx="3736848" cy="1962912"/>
            <wp:docPr id="4" name="Figure 4"/>
            <a:graphic xmlns:a="http://schemas.openxmlformats.org/drawingml/2006/main">
              <a:graphicData uri="http://schemas.openxmlformats.org/drawingml/2006/picture">
                <pic:pic xmlns:pic="http://schemas.openxmlformats.org/drawingml/2006/picture">
                  <pic:nvPicPr>
                    <pic:cNvPr id="1" name="SRS_images/ICU_HW_IFs.png"/>
                    <pic:cNvPicPr/>
                  </pic:nvPicPr>
                  <pic:blipFill>
                    <a:blip r:embed="rId9"/>
                    <a:stretch>
                      <a:fillRect/>
                    </a:stretch>
                  </pic:blipFill>
                  <pic:spPr>
                    <a:xfrm>
                      <a:off x="0" y="0"/>
                      <a:ext cx="3736848" cy="1962912"/>
                    </a:xfrm>
                    <a:prstGeom prst="rect">
                      <a:avLst/>
                    </a:prstGeom>
                  </pic:spPr>
                </pic:pic>
              </a:graphicData>
            </a:graphic>
          </wp:inline>
        </w:drawing>
      </w:r>
      <w:bookmarkEnd w:id="15"/>
    </w:p>
    <w:p>
      <w:pPr>
        <w:pStyle w:val="Caption"/>
      </w:pPr>
      <w:r>
        <w:t>Figure 4: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5"/>
        </w:numPr>
      </w:pPr>
      <w:r>
        <w:t>Prioritized, preemptive task scheduler.</w:t>
      </w:r>
    </w:p>
    <w:p>
      <w:pPr>
        <w:pStyle w:val="ListParagraph"/>
        <w:numPr>
          <w:ilvl w:val="0"/>
          <w:numId w:val="5"/>
        </w:numPr>
      </w:pPr>
      <w:r>
        <w:t>Inter-process communication.</w:t>
      </w:r>
    </w:p>
    <w:p>
      <w:pPr>
        <w:pStyle w:val="ListParagraph"/>
        <w:numPr>
          <w:ilvl w:val="0"/>
          <w:numId w:val="5"/>
        </w:numPr>
      </w:pPr>
      <w:r>
        <w:t>Resource locks (semaphores).</w:t>
      </w:r>
    </w:p>
    <w:p>
      <w:pPr>
        <w:pStyle w:val="ListParagraph"/>
        <w:numPr>
          <w:ilvl w:val="0"/>
          <w:numId w:val="5"/>
        </w:numPr>
      </w:pPr>
      <w:r>
        <w:t>Timers.</w:t>
      </w:r>
    </w:p>
    <w:p>
      <w:pPr>
        <w:pStyle w:val="Heading3"/>
      </w:pPr>
      <w:r>
        <w:t>Communication Interfaces</w:t>
      </w:r>
    </w:p>
    <w:p>
      <w:pPr>
        <w:pStyle w:val="Heading4"/>
      </w:pPr>
      <w:r>
        <w:t>Sensor Interface</w:t>
      </w:r>
    </w:p>
    <w:p>
      <w:r>
        <w:t>All EPD sensors commands and telemetry are communicated via UART protocol at 115200 bauds using Low-Voltage Differential Signalling (LVDS).</w:t>
      </w:r>
    </w:p>
    <w:p>
      <w:pPr>
        <w:pStyle w:val="Heading4"/>
      </w:pPr>
      <w:r>
        <w:t>S/C Interface</w:t>
      </w:r>
    </w:p>
    <w:p>
      <w:r>
        <w:t>Each CDPU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The list of telecommands and telecommands responses are defined in AD2.</w:t>
      </w:r>
    </w:p>
    <w:p>
      <w:r>
        <w:t>Transfer of data and command response from CDPU to the S/C shall take place according to the CCSDS recommendations defined in RD1 and RD2.</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 The SCET is considered as the Central Time Reference (CTR) and it is used as on-board reference for the correlation of time on Ground. The Central Time Reference (CTR) is maintained at spacecraft level and distributed to the Instruments in order to synchronize instruments and allow instruments to time-stamp their telemetry packets. The CDPU receives the time from the S/C.</w:t>
      </w:r>
    </w:p>
    <w:p>
      <w:pPr>
        <w:pStyle w:val="Heading2"/>
      </w:pPr>
      <w:r>
        <w:t>Constraints</w:t>
      </w:r>
    </w:p>
    <w:p>
      <w:r>
        <w:t>N/A</w:t>
      </w:r>
    </w:p>
    <w:p>
      <w:pPr>
        <w:pStyle w:val="Heading1"/>
      </w:pPr>
      <w:r>
        <w:t>Requirements</w:t>
      </w:r>
    </w:p>
    <w:p>
      <w:r>
        <w:t>In the following paragraphs a lists of software requirements will be included. Every single requirement has the following format:</w:t>
      </w:r>
    </w:p>
    <w:tbl>
      <w:bookmarkStart w:id="16" w:name="RequirementsTable"/>
      <w:tblPr>
        <w:tblW w:w="5000" w:type="pct"/>
        <w:tblStyle w:val="TableGrid"/>
      </w:tblPr>
      <w:tr>
        <w:tc>
          <w:tcPr>
            <w:tcW w:w="1000" w:type="pct"/>
            <w:shd w:val="clear" w:color="auto" w:fill="D8D8D8"/>
          </w:tcPr>
          <w:p>
            <w:r>
              <w:t>Name</w:t>
            </w:r>
          </w:p>
        </w:tc>
        <w:tc>
          <w:tcPr>
            <w:tcW w:w="4000" w:type="pct"/>
            <w:shd w:val="clear" w:color="auto" w:fill="D8D8D8"/>
          </w:tcPr>
          <w:p>
            <w:r>
              <w:t>SRS-ICUSW XX-YYYY</w:t>
            </w:r>
          </w:p>
        </w:tc>
      </w:tr>
      <w:tr>
        <w:tc>
          <w:tcPr>
            <w:tcW w:w="1000" w:type="pct"/>
            <w:shd w:val="clear" w:color="auto" w:fill="D8D8D8"/>
          </w:tcPr>
          <w:p>
            <w:r>
              <w:t>Description</w:t>
            </w:r>
          </w:p>
        </w:tc>
        <w:tc>
          <w:tcPr>
					</w:tcPr>
          <w:p>
            <w:r>
              <w:t>Requirement Description</w:t>
            </w:r>
          </w:p>
        </w:tc>
      </w:tr>
      <w:tr>
        <w:tc>
          <w:tcPr>
            <w:tcW w:w="1000" w:type="pct"/>
            <w:shd w:val="clear" w:color="auto" w:fill="D8D8D8"/>
          </w:tcPr>
          <w:p>
            <w:r>
              <w:t>Validation</w:t>
            </w:r>
          </w:p>
        </w:tc>
        <w:tc>
          <w:tcPr>
					</w:tcPr>
          <w:p>
            <w:r>
              <w:t>Validation Approach</w:t>
            </w:r>
          </w:p>
        </w:tc>
      </w:tr>
      <w:tr>
        <w:tc>
          <w:tcPr>
            <w:tcW w:w="1000" w:type="pct"/>
            <w:shd w:val="clear" w:color="auto" w:fill="D8D8D8"/>
          </w:tcPr>
          <w:p>
            <w:r>
              <w:t>Parent</w:t>
            </w:r>
          </w:p>
        </w:tc>
        <w:tc>
          <w:tcPr>
					</w:tcPr>
          <w:p>
            <w:r>
              <w:t>Requirement Traceability</w:t>
            </w:r>
          </w:p>
        </w:tc>
      </w:tr>
      <w:bookmarkEnd w:id="16"/>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6"/>
        </w:numPr>
      </w:pPr>
      <w:r>
        <w:rPr>
          <w:b/>
        </w:rPr>
        <w:t xml:space="preserve">GE. </w:t>
      </w:r>
      <w:r>
        <w:t>General</w:t>
      </w:r>
    </w:p>
    <w:p>
      <w:pPr>
        <w:pStyle w:val="ListParagraph"/>
        <w:numPr>
          <w:ilvl w:val="0"/>
          <w:numId w:val="6"/>
        </w:numPr>
      </w:pPr>
      <w:r>
        <w:rPr>
          <w:b/>
        </w:rPr>
        <w:t xml:space="preserve">FU. </w:t>
      </w:r>
      <w:r>
        <w:t>Functional</w:t>
      </w:r>
    </w:p>
    <w:p>
      <w:pPr>
        <w:pStyle w:val="ListParagraph"/>
        <w:numPr>
          <w:ilvl w:val="0"/>
          <w:numId w:val="6"/>
        </w:numPr>
      </w:pPr>
      <w:r>
        <w:rPr>
          <w:b/>
        </w:rPr>
        <w:t xml:space="preserve">PE. </w:t>
      </w:r>
      <w:r>
        <w:t>Performance</w:t>
      </w:r>
    </w:p>
    <w:p>
      <w:pPr>
        <w:pStyle w:val="ListParagraph"/>
        <w:numPr>
          <w:ilvl w:val="0"/>
          <w:numId w:val="6"/>
        </w:numPr>
      </w:pPr>
      <w:r>
        <w:rPr>
          <w:b/>
        </w:rPr>
        <w:t xml:space="preserve">IF. </w:t>
      </w:r>
      <w:r>
        <w:t>Interface</w:t>
      </w:r>
    </w:p>
    <w:p>
      <w:pPr>
        <w:pStyle w:val="ListParagraph"/>
        <w:numPr>
          <w:ilvl w:val="0"/>
          <w:numId w:val="6"/>
        </w:numPr>
      </w:pPr>
      <w:r>
        <w:rPr>
          <w:b/>
        </w:rPr>
        <w:t xml:space="preserve">OP. </w:t>
      </w:r>
      <w:r>
        <w:t>Operational</w:t>
      </w:r>
    </w:p>
    <w:p>
      <w:pPr>
        <w:pStyle w:val="ListParagraph"/>
        <w:numPr>
          <w:ilvl w:val="0"/>
          <w:numId w:val="6"/>
        </w:numPr>
      </w:pPr>
      <w:r>
        <w:rPr>
          <w:b/>
        </w:rPr>
        <w:t xml:space="preserve">RS. </w:t>
      </w:r>
      <w:r>
        <w:t>Resources</w:t>
      </w:r>
    </w:p>
    <w:p>
      <w:pPr>
        <w:pStyle w:val="ListParagraph"/>
        <w:numPr>
          <w:ilvl w:val="0"/>
          <w:numId w:val="6"/>
        </w:numPr>
      </w:pPr>
      <w:r>
        <w:rPr>
          <w:b/>
        </w:rPr>
        <w:t xml:space="preserve">DI. </w:t>
      </w:r>
      <w:r>
        <w:t>Design and Implementation Constraints</w:t>
      </w:r>
    </w:p>
    <w:p>
      <w:pPr>
        <w:pStyle w:val="ListParagraph"/>
        <w:numPr>
          <w:ilvl w:val="0"/>
          <w:numId w:val="6"/>
        </w:numPr>
      </w:pPr>
      <w:r>
        <w:rPr>
          <w:b/>
        </w:rPr>
        <w:t xml:space="preserve">SE. </w:t>
      </w:r>
      <w:r>
        <w:t>Security</w:t>
      </w:r>
    </w:p>
    <w:p>
      <w:pPr>
        <w:pStyle w:val="ListParagraph"/>
        <w:numPr>
          <w:ilvl w:val="0"/>
          <w:numId w:val="6"/>
        </w:numPr>
      </w:pPr>
      <w:r>
        <w:rPr>
          <w:b/>
        </w:rPr>
        <w:t xml:space="preserve">PO. </w:t>
      </w:r>
      <w:r>
        <w:t>Portability</w:t>
      </w:r>
    </w:p>
    <w:p>
      <w:pPr>
        <w:pStyle w:val="ListParagraph"/>
        <w:numPr>
          <w:ilvl w:val="0"/>
          <w:numId w:val="6"/>
        </w:numPr>
      </w:pPr>
      <w:r>
        <w:rPr>
          <w:b/>
        </w:rPr>
        <w:t xml:space="preserve">QU. </w:t>
      </w:r>
      <w:r>
        <w:t>Quality</w:t>
      </w:r>
    </w:p>
    <w:p>
      <w:pPr>
        <w:pStyle w:val="ListParagraph"/>
        <w:numPr>
          <w:ilvl w:val="0"/>
          <w:numId w:val="6"/>
        </w:numPr>
      </w:pPr>
      <w:r>
        <w:rPr>
          <w:b/>
        </w:rPr>
        <w:t xml:space="preserve">RE. </w:t>
      </w:r>
      <w:r>
        <w:t>Reliability</w:t>
      </w:r>
    </w:p>
    <w:p>
      <w:pPr>
        <w:pStyle w:val="ListParagraph"/>
        <w:numPr>
          <w:ilvl w:val="0"/>
          <w:numId w:val="6"/>
        </w:numPr>
      </w:pPr>
      <w:r>
        <w:rPr>
          <w:b/>
        </w:rPr>
        <w:t xml:space="preserve">MA. </w:t>
      </w:r>
      <w:r>
        <w:t>Maintainability</w:t>
      </w:r>
    </w:p>
    <w:p>
      <w:pPr>
        <w:pStyle w:val="ListParagraph"/>
        <w:numPr>
          <w:ilvl w:val="0"/>
          <w:numId w:val="6"/>
        </w:numPr>
      </w:pPr>
      <w:r>
        <w:rPr>
          <w:b/>
        </w:rPr>
        <w:t xml:space="preserve">SA. </w:t>
      </w:r>
      <w:r>
        <w:t>Safety</w:t>
      </w:r>
    </w:p>
    <w:p>
      <w:pPr>
        <w:pStyle w:val="ListParagraph"/>
        <w:numPr>
          <w:ilvl w:val="0"/>
          <w:numId w:val="6"/>
        </w:numPr>
      </w:pPr>
      <w:r>
        <w:rPr>
          <w:b/>
        </w:rPr>
        <w:t xml:space="preserve">CD. </w:t>
      </w:r>
      <w:r>
        <w:t>Configuration and delivery</w:t>
      </w:r>
    </w:p>
    <w:p>
      <w:pPr>
        <w:pStyle w:val="ListParagraph"/>
        <w:numPr>
          <w:ilvl w:val="0"/>
          <w:numId w:val="6"/>
        </w:numPr>
      </w:pPr>
      <w:r>
        <w:rPr>
          <w:b/>
        </w:rPr>
        <w:t xml:space="preserve">DD. </w:t>
      </w:r>
      <w:r>
        <w:t>Data definition and database</w:t>
      </w:r>
    </w:p>
    <w:p>
      <w:pPr>
        <w:pStyle w:val="ListParagraph"/>
        <w:numPr>
          <w:ilvl w:val="0"/>
          <w:numId w:val="6"/>
        </w:numPr>
      </w:pPr>
      <w:r>
        <w:rPr>
          <w:b/>
        </w:rPr>
        <w:t xml:space="preserve">AI. </w:t>
      </w:r>
      <w:r>
        <w:t>Adaptation and installation</w:t>
      </w:r>
    </w:p>
    <w:p>
      <w:r>
        <w:t>Examples:</w:t>
      </w:r>
    </w:p>
    <w:p>
      <w:pPr>
        <w:pStyle w:val="ListParagraph"/>
        <w:numPr>
          <w:ilvl w:val="0"/>
          <w:numId w:val="7"/>
        </w:numPr>
      </w:pPr>
      <w:r>
        <w:t>SRS-ICUSW FU-0025</w:t>
      </w:r>
    </w:p>
    <w:p>
      <w:pPr>
        <w:pStyle w:val="ListParagraph"/>
        <w:numPr>
          <w:ilvl w:val="0"/>
          <w:numId w:val="7"/>
        </w:numPr>
      </w:pPr>
      <w:r>
        <w:t>SRS-ICUSW PE R-0037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8"/>
        </w:numPr>
      </w:pPr>
      <w:r>
        <w:rPr>
          <w:b/>
        </w:rPr>
        <w:t xml:space="preserve">R. </w:t>
      </w:r>
      <w:r>
        <w:t xml:space="preserve">Review </w:t>
      </w:r>
    </w:p>
    <w:p>
      <w:pPr>
        <w:pStyle w:val="ListParagraph"/>
        <w:numPr>
          <w:ilvl w:val="0"/>
          <w:numId w:val="8"/>
        </w:numPr>
      </w:pPr>
      <w:r>
        <w:rPr>
          <w:b/>
        </w:rPr>
        <w:t xml:space="preserve">A. </w:t>
      </w:r>
      <w:r>
        <w:t>Analysis</w:t>
      </w:r>
    </w:p>
    <w:p>
      <w:pPr>
        <w:pStyle w:val="ListParagraph"/>
        <w:numPr>
          <w:ilvl w:val="0"/>
          <w:numId w:val="8"/>
        </w:numPr>
      </w:pPr>
      <w:r>
        <w:rPr>
          <w:b/>
        </w:rPr>
        <w:t xml:space="preserve">I. </w:t>
      </w:r>
      <w:r>
        <w:t>Inspection</w:t>
      </w:r>
    </w:p>
    <w:p>
      <w:pPr>
        <w:pStyle w:val="ListParagraph"/>
        <w:numPr>
          <w:ilvl w:val="0"/>
          <w:numId w:val="8"/>
        </w:numPr>
      </w:pPr>
      <w:r>
        <w:rPr>
          <w:b/>
        </w:rPr>
        <w:t xml:space="preserve">T. </w:t>
      </w:r>
      <w:r>
        <w:t>Test</w:t>
      </w:r>
    </w:p>
    <w:p>
      <w:pPr>
        <w:pStyle w:val="ListParagraph"/>
        <w:numPr>
          <w:ilvl w:val="0"/>
          <w:numId w:val="8"/>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w:t>
      </w:r>
    </w:p>
    <w:p>
      <w:pPr>
        <w:pStyle w:val="Heading3"/>
      </w:pPr>
      <w:r>
        <w:t>Common requirements</w:t>
      </w:r>
    </w:p>
    <w:tbl>
      <w:tblPr>
        <w:tblW w:w="5000" w:type="pct"/>
        <w:tblStyle w:val="TableGridFirstRowColummShadow"/>
      </w:tblPr>
      <w:tr>
        <w:tc>
          <w:tcPr>
            <w:tcW w:w="1000" w:type="pct"/>
          </w:tcPr>
          <w:p>
            <w:r>
              <w:rPr>
                <w:b/>
              </w:rPr>
              <w:t>Name</w:t>
            </w:r>
          </w:p>
        </w:tc>
        <w:tc>
          <w:tcPr>
					</w:tcPr>
          <w:p>
            <w:r>
              <w:rPr>
                <w:b/>
              </w:rPr>
              <w:t>SRS-ICUSW-GE-010</w:t>
            </w:r>
          </w:p>
        </w:tc>
      </w:tr>
      <w:tr>
        <w:tc>
          <w:tcPr>
					</w:tcPr>
          <w:p>
            <w:r>
              <w:rPr>
                <w:b/>
              </w:rPr>
              <w:t>Description</w:t>
            </w:r>
          </w:p>
        </w:tc>
        <w:tc>
          <w:tcPr>
					</w:tcPr>
          <w:p>
            <w:r>
              <w:t xml:space="preserve">The ICU Boot Software (BSW) Development Process shall be compliant to the software standard </w:t>
            </w:r>
            <w:hyperlink w:anchor="AD3">
              <w:r>
                <w:rPr>
                  <w:i/>
                </w:rPr>
                <w:t>ECSS-E-ST-40C</w:t>
              </w:r>
            </w:hyperlink>
            <w:r>
              <w:t>.</w:t>
            </w:r>
          </w:p>
        </w:tc>
      </w:tr>
      <w:tr>
        <w:tc>
          <w:tcPr>
					</w:tcPr>
          <w:p>
            <w:r>
              <w:rPr>
                <w:b/>
              </w:rPr>
              <w:t>Validation Method</w:t>
            </w:r>
          </w:p>
        </w:tc>
        <w:tc>
          <w:tcPr>
					</w:tcPr>
          <w:p>
            <w:r>
              <w:rPr>
                <w:b/>
              </w:rPr>
              <w:t>R</w:t>
            </w:r>
          </w:p>
        </w:tc>
      </w:tr>
      <w:tr>
        <w:tc>
          <w:tcPr>
					</w:tcPr>
          <w:p>
            <w:r>
              <w:rPr>
                <w:b/>
              </w:rPr>
              <w:t>Parent</w:t>
            </w:r>
          </w:p>
        </w:tc>
        <w:tc>
          <w:tcPr>
					</w:tcPr>
          <w:p>
            <w:r>
              <w:t>SSS-ICUSW-GE-010</w:t>
            </w:r>
          </w:p>
        </w:tc>
      </w:tr>
    </w:tbl>
    <w:tbl>
      <w:tblPr>
        <w:tblW w:w="5000" w:type="pct"/>
        <w:tblStyle w:val="TableGridFirstRowColummShadow"/>
      </w:tblPr>
      <w:tr>
        <w:tc>
          <w:tcPr>
            <w:tcW w:w="1000" w:type="pct"/>
          </w:tcPr>
          <w:p>
            <w:r>
              <w:rPr>
                <w:b/>
              </w:rPr>
              <w:t>Name</w:t>
            </w:r>
          </w:p>
        </w:tc>
        <w:tc>
          <w:tcPr>
					</w:tcPr>
          <w:p>
            <w:r>
              <w:rPr>
                <w:b/>
              </w:rPr>
              <w:t>SRS-ICUSW-GE-020</w:t>
            </w:r>
          </w:p>
        </w:tc>
      </w:tr>
      <w:tr>
        <w:tc>
          <w:tcPr>
					</w:tcPr>
          <w:p>
            <w:r>
              <w:rPr>
                <w:b/>
              </w:rPr>
              <w:t>Description</w:t>
            </w:r>
          </w:p>
        </w:tc>
        <w:tc>
          <w:tcPr>
					</w:tcPr>
          <w:p>
            <w:r>
              <w:t xml:space="preserve">The ICU Application Software (ASW) Development Process shall be compliant to the software standard </w:t>
            </w:r>
            <w:hyperlink w:anchor="AD3">
              <w:r>
                <w:rPr>
                  <w:i/>
                </w:rPr>
                <w:t>ECSS-E-ST-40C</w:t>
              </w:r>
            </w:hyperlink>
            <w:r>
              <w:t>.</w:t>
            </w:r>
          </w:p>
        </w:tc>
      </w:tr>
      <w:tr>
        <w:tc>
          <w:tcPr>
					</w:tcPr>
          <w:p>
            <w:r>
              <w:rPr>
                <w:b/>
              </w:rPr>
              <w:t>Validation Method</w:t>
            </w:r>
          </w:p>
        </w:tc>
        <w:tc>
          <w:tcPr>
					</w:tcPr>
          <w:p>
            <w:r>
              <w:rPr>
                <w:b/>
              </w:rPr>
              <w:t>R</w:t>
            </w:r>
          </w:p>
        </w:tc>
      </w:tr>
      <w:tr>
        <w:tc>
          <w:tcPr>
					</w:tcPr>
          <w:p>
            <w:r>
              <w:rPr>
                <w:b/>
              </w:rPr>
              <w:t>Parent</w:t>
            </w:r>
          </w:p>
        </w:tc>
        <w:tc>
          <w:tcPr>
					</w:tcPr>
          <w:p>
            <w:r>
              <w:t>SSS-ICUSW-GE-010</w:t>
            </w:r>
          </w:p>
        </w:tc>
      </w:tr>
    </w:tbl>
    <w:p>
      <w:pPr>
        <w:pStyle w:val="Heading2"/>
      </w:pPr>
      <w:r>
        <w:t>Performance</w:t>
      </w:r>
    </w:p>
    <w:p>
      <w:pPr>
        <w:pStyle w:val="Heading3"/>
      </w:pPr>
      <w:r>
        <w:t>ASW requirements</w:t>
      </w:r>
    </w:p>
    <w:p>
      <w:r>
        <w:t>D: The ICU ASW shall handle the received telecommands according to the following requirements:</w:t>
      </w:r>
    </w:p>
    <w:tbl>
      <w:tblPr>
        <w:tblW w:w="5000" w:type="pct"/>
        <w:tblStyle w:val="TableGridFirstRowColummShadow"/>
      </w:tblPr>
      <w:tr>
        <w:tc>
          <w:tcPr>
            <w:tcW w:w="1000" w:type="pct"/>
          </w:tcPr>
          <w:p>
            <w:r>
              <w:rPr>
                <w:b/>
              </w:rPr>
              <w:t>Name</w:t>
            </w:r>
          </w:p>
        </w:tc>
        <w:tc>
          <w:tcPr>
					</w:tcPr>
          <w:p>
            <w:r>
              <w:rPr>
                <w:b/>
              </w:rPr>
              <w:t>SRS-ICUSW-PE-010</w:t>
            </w:r>
          </w:p>
        </w:tc>
      </w:tr>
      <w:tr>
        <w:tc>
          <w:tcPr>
					</w:tcPr>
          <w:p>
            <w:r>
              <w:rPr>
                <w:b/>
              </w:rPr>
              <w:t>Description</w:t>
            </w:r>
          </w:p>
        </w:tc>
        <w:tc>
          <w:tcPr>
					</w:tcPr>
          <w:p>
            <w:r>
              <w:t>The ICU-ASW shall retrieve the stored telecommands from the FIFO queue and accept them within an interval of 1 second after its reception.</w:t>
            </w:r>
          </w:p>
        </w:tc>
      </w:tr>
      <w:tr>
        <w:tc>
          <w:tcPr>
					</w:tcPr>
          <w:p>
            <w:r>
              <w:rPr>
                <w:b/>
              </w:rPr>
              <w:t>Validation Method</w:t>
            </w:r>
          </w:p>
        </w:tc>
        <w:tc>
          <w:tcPr>
					</w:tcPr>
          <w:p>
            <w:r>
              <w:rPr>
                <w:b/>
              </w:rPr>
              <w:t>A</w:t>
            </w:r>
          </w:p>
        </w:tc>
      </w:tr>
      <w:tr>
        <w:tc>
          <w:tcPr>
					</w:tcPr>
          <w:p>
            <w:r>
              <w:rPr>
                <w:b/>
              </w:rPr>
              <w:t>Parent</w:t>
            </w:r>
          </w:p>
        </w:tc>
        <w:tc>
          <w:tcPr>
					</w:tcPr>
          <w:p>
            <w:r>
              <w:t>SSS-ICUSW-CA-010</w:t>
            </w:r>
          </w:p>
        </w:tc>
      </w:tr>
    </w:tbl>
    <w:p>
      <w:pPr>
        <w:pStyle w:val="Heading2"/>
      </w:pPr>
      <w:r>
        <w:t>Interface</w:t>
      </w:r>
    </w:p>
    <w:p>
      <w:pPr>
        <w:pStyle w:val="Heading3"/>
      </w:pPr>
      <w:r>
        <w:t>ASW requirements</w:t>
      </w:r>
    </w:p>
    <w:p>
      <w:r>
        <w:t>D: The ICUSW will handle the Telecommand Verification Service 1 according to the following requirements:</w:t>
      </w:r>
    </w:p>
    <w:tbl>
      <w:tblPr>
        <w:tblW w:w="5000" w:type="pct"/>
        <w:tblStyle w:val="TableGridFirstRowColummShadow"/>
      </w:tblPr>
      <w:tr>
        <w:tc>
          <w:tcPr>
            <w:tcW w:w="1000" w:type="pct"/>
          </w:tcPr>
          <w:p>
            <w:r>
              <w:rPr>
                <w:b/>
              </w:rPr>
              <w:t>Name</w:t>
            </w:r>
          </w:p>
        </w:tc>
        <w:tc>
          <w:tcPr>
					</w:tcPr>
          <w:p>
            <w:r>
              <w:rPr>
                <w:b/>
              </w:rPr>
              <w:t>SRS-ICUSW-IF-010</w:t>
            </w:r>
          </w:p>
        </w:tc>
      </w:tr>
      <w:tr>
        <w:tc>
          <w:tcPr>
					</w:tcPr>
          <w:p>
            <w:r>
              <w:rPr>
                <w:b/>
              </w:rPr>
              <w:t>Description</w:t>
            </w:r>
          </w:p>
        </w:tc>
        <w:tc>
          <w:tcPr>
					</w:tcPr>
          <w:p>
            <w:r>
              <w:t>The ICU-ASW shall generate a PUS TM (1.1) as result of the telecommand acceptance.</w:t>
            </w:r>
          </w:p>
        </w:tc>
      </w:tr>
      <w:tr>
        <w:tc>
          <w:tcPr>
					</w:tcPr>
          <w:p>
            <w:r>
              <w:rPr>
                <w:b/>
              </w:rPr>
              <w:t>Validation Method</w:t>
            </w:r>
          </w:p>
        </w:tc>
        <w:tc>
          <w:tcPr>
					</w:tcPr>
          <w:p>
            <w:r>
              <w:rPr>
                <w:b/>
              </w:rPr>
              <w:t>T</w:t>
            </w:r>
          </w:p>
        </w:tc>
      </w:tr>
      <w:tr>
        <w:tc>
          <w:tcPr>
					</w:tcPr>
          <w:p>
            <w:r>
              <w:rPr>
                <w:b/>
              </w:rPr>
              <w:t>Parent</w:t>
            </w:r>
          </w:p>
        </w:tc>
        <w:tc>
          <w:tcPr>
					</w:tcPr>
          <w:p>
            <w:r>
              <w:t>SSS-ICUSW-IF-010</w:t>
            </w:r>
          </w:p>
        </w:tc>
      </w:tr>
    </w:tbl>
    <w:tbl>
      <w:tblPr>
        <w:tblW w:w="5000" w:type="pct"/>
        <w:tblStyle w:val="TableGridFirstRowColummShadow"/>
      </w:tblPr>
      <w:tr>
        <w:tc>
          <w:tcPr>
            <w:tcW w:w="1000" w:type="pct"/>
          </w:tcPr>
          <w:p>
            <w:r>
              <w:rPr>
                <w:b/>
              </w:rPr>
              <w:t>Name</w:t>
            </w:r>
          </w:p>
        </w:tc>
        <w:tc>
          <w:tcPr>
					</w:tcPr>
          <w:p>
            <w:r>
              <w:rPr>
                <w:b/>
              </w:rPr>
              <w:t>SRS-ICUSW-IF-020</w:t>
            </w:r>
          </w:p>
        </w:tc>
      </w:tr>
      <w:tr>
        <w:tc>
          <w:tcPr>
					</w:tcPr>
          <w:p>
            <w:r>
              <w:rPr>
                <w:b/>
              </w:rPr>
              <w:t>Description</w:t>
            </w:r>
          </w:p>
        </w:tc>
        <w:tc>
          <w:tcPr>
					</w:tcPr>
          <w:p>
            <w:r>
              <w:t>The ICU-ASW shall generate a PUS TM (1.2) as result of the telecommand rejection.</w:t>
            </w:r>
          </w:p>
        </w:tc>
      </w:tr>
      <w:tr>
        <w:tc>
          <w:tcPr>
					</w:tcPr>
          <w:p>
            <w:r>
              <w:rPr>
                <w:b/>
              </w:rPr>
              <w:t>Validation Method</w:t>
            </w:r>
          </w:p>
        </w:tc>
        <w:tc>
          <w:tcPr>
					</w:tcPr>
          <w:p>
            <w:r>
              <w:rPr>
                <w:b/>
              </w:rPr>
              <w:t>T</w:t>
            </w:r>
          </w:p>
        </w:tc>
      </w:tr>
      <w:tr>
        <w:tc>
          <w:tcPr>
					</w:tcPr>
          <w:p>
            <w:r>
              <w:rPr>
                <w:b/>
              </w:rPr>
              <w:t>Parent</w:t>
            </w:r>
          </w:p>
        </w:tc>
        <w:tc>
          <w:tcPr>
					</w:tcPr>
          <w:p>
            <w:r>
              <w:t>SSS-ICUSW-IF-010</w:t>
            </w:r>
          </w:p>
        </w:tc>
      </w:tr>
    </w:tbl>
    <w:p>
      <w:pPr>
        <w:pStyle w:val="Heading2"/>
      </w:pPr>
      <w:r>
        <w:t>Functional</w:t>
      </w:r>
    </w:p>
    <w:p>
      <w:pPr>
        <w:pStyle w:val="Heading3"/>
      </w:pPr>
      <w:r>
        <w:t>ASW requirements</w:t>
      </w:r>
    </w:p>
    <w:p>
      <w:r>
        <w:t>D: The ICU ASW shall handle the telecommand and telemetry according to the following requirements:</w:t>
      </w:r>
    </w:p>
    <w:tbl>
      <w:tblPr>
        <w:tblW w:w="5000" w:type="pct"/>
        <w:tblStyle w:val="TableGridFirstRowColummShadow"/>
      </w:tblPr>
      <w:tr>
        <w:tc>
          <w:tcPr>
            <w:tcW w:w="1000" w:type="pct"/>
          </w:tcPr>
          <w:p>
            <w:r>
              <w:rPr>
                <w:b/>
              </w:rPr>
              <w:t>Name</w:t>
            </w:r>
          </w:p>
        </w:tc>
        <w:tc>
          <w:tcPr>
					</w:tcPr>
          <w:p>
            <w:r>
              <w:rPr>
                <w:b/>
              </w:rPr>
              <w:t>SRS-ICUSW-FU-010</w:t>
            </w:r>
          </w:p>
        </w:tc>
      </w:tr>
      <w:tr>
        <w:tc>
          <w:tcPr>
					</w:tcPr>
          <w:p>
            <w:r>
              <w:rPr>
                <w:b/>
              </w:rPr>
              <w:t>Description</w:t>
            </w:r>
          </w:p>
        </w:tc>
        <w:tc>
          <w:tcPr>
					</w:tcPr>
          <w:p>
            <w:r>
              <w:t>The ICU-ASW shall store the received telecommands in a FIFO queue</w:t>
            </w:r>
          </w:p>
        </w:tc>
      </w:tr>
      <w:tr>
        <w:tc>
          <w:tcPr>
					</w:tcPr>
          <w:p>
            <w:r>
              <w:rPr>
                <w:b/>
              </w:rPr>
              <w:t>Validation Method</w:t>
            </w:r>
          </w:p>
        </w:tc>
        <w:tc>
          <w:tcPr>
					</w:tcPr>
          <w:p>
            <w:r>
              <w:rPr>
                <w:b/>
              </w:rPr>
              <w:t>R</w:t>
            </w:r>
          </w:p>
        </w:tc>
      </w:tr>
      <w:tr>
        <w:tc>
          <w:tcPr>
					</w:tcPr>
          <w:p>
            <w:r>
              <w:rPr>
                <w:b/>
              </w:rPr>
              <w:t>Parent</w:t>
            </w:r>
          </w:p>
        </w:tc>
        <w:tc>
          <w:tcPr>
					</w:tcPr>
          <w:p>
            <w:r>
              <w:t>SSS-ICUSW-CA-010</w:t>
            </w:r>
          </w:p>
        </w:tc>
      </w:tr>
    </w:tbl>
    <w:p>
      <w:pPr>
        <w:pStyle w:val="Heading2"/>
      </w:pPr>
      <w:r>
        <w:t>Operational</w:t>
      </w:r>
    </w:p>
    <w:p>
      <w:pPr>
        <w:pStyle w:val="Heading2"/>
      </w:pPr>
      <w:r>
        <w:t>Resources</w:t>
      </w:r>
    </w:p>
    <w:p>
      <w:pPr>
        <w:pStyle w:val="Heading2"/>
      </w:pPr>
      <w:r>
        <w:t>Design</w:t>
      </w:r>
    </w:p>
    <w:p>
      <w:pPr>
        <w:pStyle w:val="Heading2"/>
      </w:pPr>
      <w:r>
        <w:t>Security and Privacy</w:t>
      </w:r>
    </w:p>
    <w:p>
      <w:pPr>
        <w:pStyle w:val="Heading2"/>
      </w:pPr>
      <w:r>
        <w:t>Portability</w:t>
      </w:r>
    </w:p>
    <w:p>
      <w:pPr>
        <w:pStyle w:val="Heading2"/>
      </w:pPr>
      <w:r>
        <w:t>Software Quality</w:t>
      </w:r>
    </w:p>
    <w:p>
      <w:pPr>
        <w:pStyle w:val="Heading2"/>
      </w:pPr>
      <w:r>
        <w:t>Software Reliability</w:t>
      </w:r>
    </w:p>
    <w:p>
      <w:pPr>
        <w:pStyle w:val="Heading2"/>
      </w:pPr>
      <w:r>
        <w:t>Software Maintainability</w:t>
      </w:r>
    </w:p>
    <w:p>
      <w:pPr>
        <w:pStyle w:val="Heading2"/>
      </w:pPr>
      <w:r>
        <w:t>Software Safety</w:t>
      </w:r>
    </w:p>
    <w:p>
      <w:pPr>
        <w:pStyle w:val="Heading2"/>
      </w:pPr>
      <w:r>
        <w:t>Software Configuration Delivery</w:t>
      </w:r>
    </w:p>
    <w:p>
      <w:pPr>
        <w:pStyle w:val="Heading2"/>
      </w:pPr>
      <w:r>
        <w:t>Data Definition Database</w:t>
      </w:r>
    </w:p>
    <w:p>
      <w:pPr>
        <w:pStyle w:val="Heading2"/>
      </w:pPr>
      <w:r>
        <w:t>Human Factors</w:t>
      </w:r>
    </w:p>
    <w:p>
      <w:pPr>
        <w:pStyle w:val="Heading2"/>
      </w:pPr>
      <w:r>
        <w:t>Adaptation Installation</w:t>
      </w:r>
    </w:p>
    <w:p>
      <w:pPr>
        <w:pStyle w:val="Heading1"/>
      </w:pPr>
      <w:r>
        <w:t>Logical Models</w:t>
      </w:r>
    </w:p>
    <w:p>
      <w:pPr>
        <w:pStyle w:val="Heading1"/>
      </w:pPr>
      <w:r>
        <w:t>Traceability Matrices</w:t>
      </w:r>
    </w:p>
    <w:p>
      <w:pPr>
        <w:pStyle w:val="Heading2"/>
      </w:pPr>
      <w:r>
        <w:t>Direct Traceability Matrix</w:t>
      </w:r>
    </w:p>
    <w:tbl>
      <w:tblPr>
        <w:tblW w:w="5000" w:type="pct"/>
        <w:tblStyle w:val="TableGridFirstRowShadow"/>
      </w:tblPr>
      <w:tr>
        <w:tc>
          <w:tcPr>
            <w:tcW w:w="1850" w:type="pct"/>
          </w:tcPr>
          <w:p>
            <w:r>
              <w:rPr>
                <w:b/>
              </w:rPr>
              <w:t>SRS Item</w:t>
            </w:r>
          </w:p>
        </w:tc>
        <w:tc>
          <w:tcPr>
            <w:tcW w:w="1300" w:type="pct"/>
          </w:tcPr>
          <w:p>
            <w:r>
              <w:rPr>
                <w:b/>
              </w:rPr>
              <w:t>SSS document</w:t>
            </w:r>
          </w:p>
        </w:tc>
        <w:tc>
          <w:tcPr>
            <w:tcW w:w="1850" w:type="pct"/>
          </w:tcPr>
          <w:p>
            <w:r>
              <w:rPr>
                <w:b/>
              </w:rPr>
              <w:t>SSS Item</w:t>
            </w:r>
          </w:p>
        </w:tc>
      </w:tr>
      <w:tr>
        <w:tc>
          <w:tcPr>
					</w:tcPr>
          <w:p>
            <w:r>
              <w:t>SRS-ICUSW-GE-010</w:t>
            </w:r>
          </w:p>
        </w:tc>
        <w:tc>
          <w:tcPr>
					</w:tcPr>
          <w:p>
            <w:r>
              <w:t>SRG-EPD-SSS-001</w:t>
            </w:r>
          </w:p>
        </w:tc>
        <w:tc>
          <w:tcPr>
					</w:tcPr>
          <w:p>
            <w:r>
              <w:t>SSS-ICUSW-GE-010</w:t>
            </w:r>
          </w:p>
        </w:tc>
      </w:tr>
      <w:tr>
        <w:tc>
          <w:tcPr>
					</w:tcPr>
          <w:p>
            <w:r>
              <w:t>SRS-ICUSW-GE-020</w:t>
            </w:r>
          </w:p>
        </w:tc>
        <w:tc>
          <w:tcPr>
					</w:tcPr>
          <w:p>
            <w:r>
              <w:t>SRG-EPD-SSS-001</w:t>
            </w:r>
          </w:p>
        </w:tc>
        <w:tc>
          <w:tcPr>
					</w:tcPr>
          <w:p>
            <w:r>
              <w:t>SSS-ICUSW-GE-010</w:t>
            </w:r>
          </w:p>
        </w:tc>
      </w:tr>
      <w:tr>
        <w:tc>
          <w:tcPr>
					</w:tcPr>
          <w:p>
            <w:r>
              <w:t>SRS-ICUSW-FU-010</w:t>
            </w:r>
          </w:p>
        </w:tc>
        <w:tc>
          <w:tcPr>
					</w:tcPr>
          <w:p>
            <w:r>
              <w:t>SRG-EPD-SSS-001</w:t>
            </w:r>
          </w:p>
        </w:tc>
        <w:tc>
          <w:tcPr>
					</w:tcPr>
          <w:p>
            <w:r>
              <w:t>SSS-ICUSW-CA-010</w:t>
            </w:r>
          </w:p>
        </w:tc>
      </w:tr>
      <w:tr>
        <w:tc>
          <w:tcPr>
					</w:tcPr>
          <w:p>
            <w:r>
              <w:t>SRS-ICUSW-PE-010</w:t>
            </w:r>
          </w:p>
        </w:tc>
        <w:tc>
          <w:tcPr>
					</w:tcPr>
          <w:p>
            <w:r>
              <w:t>SRG-EPD-SSS-001</w:t>
            </w:r>
          </w:p>
        </w:tc>
        <w:tc>
          <w:tcPr>
					</w:tcPr>
          <w:p>
            <w:r>
              <w:t>SSS-ICUSW-CA-010</w:t>
            </w:r>
          </w:p>
        </w:tc>
      </w:tr>
      <w:tr>
        <w:tc>
          <w:tcPr>
					</w:tcPr>
          <w:p>
            <w:r>
              <w:t>SRS-ICUSW-IF-010</w:t>
            </w:r>
          </w:p>
        </w:tc>
        <w:tc>
          <w:tcPr>
					</w:tcPr>
          <w:p>
            <w:r>
              <w:t>SRG-EPD-SSS-001</w:t>
            </w:r>
          </w:p>
        </w:tc>
        <w:tc>
          <w:tcPr>
					</w:tcPr>
          <w:p>
            <w:r>
              <w:t>SSS-ICUSW-IF-010</w:t>
            </w:r>
          </w:p>
        </w:tc>
      </w:tr>
      <w:tr>
        <w:tc>
          <w:tcPr>
					</w:tcPr>
          <w:p>
            <w:r>
              <w:t>SRS-ICUSW-IF-020</w:t>
            </w:r>
          </w:p>
        </w:tc>
        <w:tc>
          <w:tcPr>
					</w:tcPr>
          <w:p>
            <w:r>
              <w:t>SRG-EPD-SSS-001</w:t>
            </w:r>
          </w:p>
        </w:tc>
        <w:tc>
          <w:tcPr>
					</w:tcPr>
          <w:p>
            <w:r>
              <w:t>SSS-ICUSW-IF-010</w:t>
            </w:r>
          </w:p>
        </w:tc>
      </w:tr>
    </w:tbl>
    <w:p>
      <w:pPr>
        <w:pStyle w:val="Heading2"/>
      </w:pPr>
      <w:r>
        <w:t>Inverse Traceability Matrix</w:t>
      </w:r>
    </w:p>
    <w:tbl>
      <w:tblPr>
        <w:tblW w:w="5000" w:type="pct"/>
        <w:tblStyle w:val="TableGridFirstRowShadow"/>
      </w:tblPr>
      <w:tr>
        <w:tc>
          <w:tcPr>
            <w:tcW w:w="1850" w:type="pct"/>
          </w:tcPr>
          <w:p>
            <w:r>
              <w:rPr>
                <w:b/>
              </w:rPr>
              <w:t>SSS Item</w:t>
            </w:r>
          </w:p>
        </w:tc>
        <w:tc>
          <w:tcPr>
            <w:tcW w:w="1300" w:type="pct"/>
          </w:tcPr>
          <w:p>
            <w:r>
              <w:rPr>
                <w:b/>
              </w:rPr>
              <w:t>SSS document</w:t>
            </w:r>
          </w:p>
        </w:tc>
        <w:tc>
          <w:tcPr>
            <w:tcW w:w="1850" w:type="pct"/>
          </w:tcPr>
          <w:p>
            <w:r>
              <w:rPr>
                <w:b/>
              </w:rPr>
              <w:t>SRS Item</w:t>
            </w:r>
          </w:p>
        </w:tc>
      </w:tr>
      <w:tr>
        <w:tc>
          <w:tcPr>
            <w:vMerge w:val="restart"/>
          </w:tcPr>
          <w:p>
            <w:r>
              <w:t>SSS-ICUSW-GE-010</w:t>
            </w:r>
          </w:p>
        </w:tc>
        <w:tc>
          <w:tcPr>
            <w:vMerge w:val="restart"/>
          </w:tcPr>
          <w:p>
            <w:r>
              <w:t>SRG-EPD-SSS-001</w:t>
            </w:r>
          </w:p>
        </w:tc>
        <w:tc>
          <w:tcPr>
					</w:tcPr>
          <w:p>
            <w:r>
              <w:t>SRS-ICUSW-GE-010</w:t>
            </w:r>
          </w:p>
        </w:tc>
      </w:tr>
      <w:tr>
        <w:tc>
          <w:tcPr>
            <w:vMerge w:val="continue"/>
            <w:p/>
          </w:tcPr>
        </w:tc>
        <w:tc>
          <w:tcPr>
            <w:vMerge w:val="continue"/>
            <w:p/>
          </w:tcPr>
        </w:tc>
        <w:tc>
          <w:tcPr>
					</w:tcPr>
          <w:p>
            <w:r>
              <w:t>SRS-ICUSW-GE-020</w:t>
            </w:r>
          </w:p>
        </w:tc>
      </w:tr>
      <w:tr>
        <w:tc>
          <w:tcPr>
            <w:vMerge w:val="restart"/>
          </w:tcPr>
          <w:p>
            <w:r>
              <w:t>SSS-ICUSW-CA-010</w:t>
            </w:r>
          </w:p>
        </w:tc>
        <w:tc>
          <w:tcPr>
            <w:vMerge w:val="restart"/>
          </w:tcPr>
          <w:p>
            <w:r>
              <w:t>SRG-EPD-SSS-001</w:t>
            </w:r>
          </w:p>
        </w:tc>
        <w:tc>
          <w:tcPr>
					</w:tcPr>
          <w:p>
            <w:r>
              <w:t>SRS-ICUSW-FU-010</w:t>
            </w:r>
          </w:p>
        </w:tc>
      </w:tr>
      <w:tr>
        <w:tc>
          <w:tcPr>
            <w:vMerge w:val="continue"/>
            <w:p/>
          </w:tcPr>
        </w:tc>
        <w:tc>
          <w:tcPr>
            <w:vMerge w:val="continue"/>
            <w:p/>
          </w:tcPr>
        </w:tc>
        <w:tc>
          <w:tcPr>
					</w:tcPr>
          <w:p>
            <w:r>
              <w:t>SRS-ICUSW-PE-010</w:t>
            </w:r>
          </w:p>
        </w:tc>
      </w:tr>
      <w:tr>
        <w:tc>
          <w:tcPr>
            <w:vMerge w:val="restart"/>
          </w:tcPr>
          <w:p>
            <w:r>
              <w:t>SSS-ICUSW-IF-010</w:t>
            </w:r>
          </w:p>
        </w:tc>
        <w:tc>
          <w:tcPr>
            <w:vMerge w:val="restart"/>
          </w:tcPr>
          <w:p>
            <w:r>
              <w:t>SRG-EPD-SSS-001</w:t>
            </w:r>
          </w:p>
        </w:tc>
        <w:tc>
          <w:tcPr>
					</w:tcPr>
          <w:p>
            <w:r>
              <w:t>SRS-ICUSW-IF-010</w:t>
            </w:r>
          </w:p>
        </w:tc>
      </w:tr>
      <w:tr>
        <w:tc>
          <w:tcPr>
            <w:vMerge w:val="continue"/>
            <w:p/>
          </w:tcPr>
        </w:tc>
        <w:tc>
          <w:tcPr>
            <w:vMerge w:val="continue"/>
            <w:p/>
          </w:tcPr>
        </w:tc>
        <w:tc>
          <w:tcPr>
					</w:tcPr>
          <w:p>
            <w:r>
              <w:t>SRS-ICUSW-IF-020</w:t>
            </w:r>
          </w:p>
        </w:tc>
      </w:tr>
    </w:tbl>
    <w:p>
      <w:r>
        <w:rPr>
          <w:b/>
        </w:rPr>
        <w:t>Items Not Found</w:t>
      </w:r>
    </w:p>
    <w:tbl>
      <w:tblPr>
        <w:tblW w:w="5000" w:type="pct"/>
        <w:tblStyle w:val="TableGridFirstRowShadow"/>
      </w:tblPr>
      <w:tr>
        <w:tc>
          <w:tcPr>
            <w:tcW w:w="2500" w:type="pct"/>
          </w:tcPr>
          <w:p>
            <w:r>
              <w:rPr>
                <w:b/>
              </w:rPr>
              <w:t>SSS Item</w:t>
            </w:r>
          </w:p>
        </w:tc>
        <w:tc>
          <w:tcPr>
					</w:tcPr>
          <w:p>
            <w:r>
              <w:rPr>
                <w:b/>
              </w:rPr>
              <w:t>SSS document</w:t>
            </w:r>
          </w:p>
        </w:tc>
      </w:tr>
      <w:tr>
        <w:tc>
          <w:tcPr>
            <w:tcW w:w="2500" w:type="pct"/>
          </w:tcPr>
          <w:p>
            <w:r>
              <w:t>SSS-ICUSW-VV-010</w:t>
            </w:r>
          </w:p>
        </w:tc>
        <w:tc>
          <w:tcPr>
					</w:tcPr>
          <w:p>
            <w:r>
              <w:t>SRG-EPD-SSS-001</w:t>
            </w:r>
          </w:p>
        </w:tc>
      </w:tr>
      <w:tr>
        <w:tc>
          <w:tcPr>
            <w:tcW w:w="2500" w:type="pct"/>
          </w:tcPr>
          <w:p>
            <w:r>
              <w:t>SSS-ICUSW-VA-010</w:t>
            </w:r>
          </w:p>
        </w:tc>
        <w:tc>
          <w:tcPr>
					</w:tcPr>
          <w:p>
            <w:r>
              <w:t>SRG-EPD-SSS-001</w:t>
            </w:r>
          </w:p>
        </w:tc>
      </w:tr>
      <w:tr>
        <w:tc>
          <w:tcPr>
            <w:tcW w:w="2500" w:type="pct"/>
          </w:tcPr>
          <w:p>
            <w:r>
              <w:t>SSS-ICUSW-VA-020</w:t>
            </w:r>
          </w:p>
        </w:tc>
        <w:tc>
          <w:tcPr>
					</w:tcPr>
          <w:p>
            <w:r>
              <w:t>SRG-EPD-SSS-001</w:t>
            </w:r>
          </w:p>
        </w:tc>
      </w:tr>
      <w:tr>
        <w:tc>
          <w:tcPr>
            <w:tcW w:w="2500" w:type="pct"/>
          </w:tcPr>
          <w:p>
            <w:r>
              <w:t>SSS-ICUSW-VA-030</w:t>
            </w:r>
          </w:p>
        </w:tc>
        <w:tc>
          <w:tcPr>
					</w:tcPr>
          <w:p>
            <w:r>
              <w:t>SRG-EPD-SSS-001</w:t>
            </w:r>
          </w:p>
        </w:tc>
      </w:tr>
      <w:tr>
        <w:tc>
          <w:tcPr>
            <w:tcW w:w="2500" w:type="pct"/>
          </w:tcPr>
          <w:p>
            <w:r>
              <w:t>SSS-ICUSW-VA-040</w:t>
            </w:r>
          </w:p>
        </w:tc>
        <w:tc>
          <w:tcPr>
					</w:tcPr>
          <w:p>
            <w:r>
              <w:t>SRG-EPD-SSS-001</w:t>
            </w:r>
          </w:p>
        </w:tc>
      </w:tr>
      <w:tr>
        <w:tc>
          <w:tcPr>
            <w:tcW w:w="2500" w:type="pct"/>
          </w:tcPr>
          <w:p>
            <w:r>
              <w:t>SSS-ICUSW-VA-050</w:t>
            </w:r>
          </w:p>
        </w:tc>
        <w:tc>
          <w:tcPr>
					</w:tcPr>
          <w:p>
            <w:r>
              <w:t>SRG-EPD-SSS-001</w:t>
            </w:r>
          </w:p>
        </w:tc>
      </w:tr>
      <w:tr>
        <w:tc>
          <w:tcPr>
            <w:tcW w:w="2500" w:type="pct"/>
          </w:tcPr>
          <w:p>
            <w:r>
              <w:t>SSS-ICUSW-VR-010</w:t>
            </w:r>
          </w:p>
        </w:tc>
        <w:tc>
          <w:tcPr>
					</w:tcPr>
          <w:p>
            <w:r>
              <w:t>SRG-EPD-SSS-001</w:t>
            </w:r>
          </w:p>
        </w:tc>
      </w:tr>
      <w:tr>
        <w:tc>
          <w:tcPr>
            <w:tcW w:w="2500" w:type="pct"/>
          </w:tcPr>
          <w:p>
            <w:r>
              <w:t>SSS-ICUSW-VE-010</w:t>
            </w:r>
          </w:p>
        </w:tc>
        <w:tc>
          <w:tcPr>
					</w:tcPr>
          <w:p>
            <w:r>
              <w:t>SRG-EPD-SSS-001</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