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DBG</w:t>
      </w:r>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pStyle w:val="ADRD"/>
      </w:pPr>
      <w:bookmarkStart w:id="0" w:name="AD1"/>
      <w:r>
        <w:t>AD1</w:t>
      </w:r>
      <w:r>
        <w:rPr>
          <w:i/>
        </w:rPr>
        <w:tab/>
        <w:t>Software</w:t>
      </w:r>
      <w:r>
        <w:t>. ECSS-E-ST-40C. 06/03/2009</w:t>
      </w:r>
      <w:bookmarkEnd w:id="0"/>
    </w:p>
    <w:p>
      <w:pPr>
        <w:pStyle w:val="ADRD"/>
      </w:pPr>
      <w:bookmarkStart w:id="1" w:name="AD2"/>
      <w:r>
        <w:t>AD2</w:t>
      </w:r>
      <w:r>
        <w:rPr>
          <w:i/>
        </w:rPr>
        <w:tab/>
        <w:t>Software Product Assurance</w:t>
      </w:r>
      <w:r>
        <w:t>. ECSS-Q-ST-80C. 06/03/2009</w:t>
      </w:r>
      <w:bookmarkEnd w:id="1"/>
    </w:p>
    <w:p>
      <w:pPr>
        <w:pStyle w:val="ADRD"/>
      </w:pPr>
      <w:bookmarkStart w:id="2" w:name="AD3"/>
      <w:r>
        <w:t>AD3</w:t>
      </w:r>
      <w:r>
        <w:rPr>
          <w:i/>
        </w:rPr>
        <w:tab/>
        <w:t>SRG-EPD Software Product Assurance Plan</w:t>
      </w:r>
      <w:r>
        <w:t>. SRG-EPD-SPA-0001</w:t>
      </w:r>
      <w:bookmarkEnd w:id="2"/>
    </w:p>
    <w:p>
      <w:pPr>
        <w:pStyle w:val="ADRD"/>
      </w:pPr>
      <w:bookmarkStart w:id="3" w:name="AD4"/>
      <w:r>
        <w:t>AD4</w:t>
      </w:r>
      <w:r>
        <w:rPr>
          <w:i/>
        </w:rPr>
        <w:tab/>
        <w:t>SRG-EPD Software Development Plan</w:t>
      </w:r>
      <w:r>
        <w:t>. SRG-EPD-SDP-0001</w:t>
      </w:r>
      <w:bookmarkEnd w:id="3"/>
    </w:p>
    <w:p>
      <w:pPr>
        <w:pStyle w:val="Heading1"/>
      </w:pPr>
      <w:r>
        <w:t>Reference Documents</w:t>
      </w:r>
    </w:p>
    <w:p>
      <w:pPr>
        <w:pStyle w:val="ADRD"/>
      </w:pPr>
      <w:bookmarkStart w:id="4" w:name="RD1"/>
      <w:r>
        <w:t>RD1</w:t>
      </w:r>
      <w:r>
        <w:rPr>
          <w:i/>
        </w:rPr>
        <w:tab/>
        <w:t>CCSDS Packet Telemetry. CCSDS 102.0-B-5. Blue Book</w:t>
      </w:r>
      <w:r>
        <w:t>. SO-EPD-PO-IF-0001. 11/2000</w:t>
      </w:r>
      <w:bookmarkEnd w:id="4"/>
    </w:p>
    <w:p>
      <w:pPr>
        <w:pStyle w:val="ADRD"/>
      </w:pPr>
      <w:bookmarkStart w:id="5" w:name="RD2"/>
      <w:r>
        <w:t>RD2</w:t>
      </w:r>
      <w:r>
        <w:rPr>
          <w:i/>
        </w:rPr>
        <w:tab/>
        <w:t>Ground systems and operations - Telemetry and telecommand packet utilization</w:t>
      </w:r>
      <w:r>
        <w:t>. ECSS-E-70-41C. 15/04/2016</w:t>
      </w:r>
      <w:bookmarkEnd w:id="5"/>
    </w:p>
    <w:p>
      <w:pPr>
        <w:pStyle w:val="ADRD"/>
      </w:pPr>
      <w:bookmarkStart w:id="6" w:name="RD3"/>
      <w:r>
        <w:t>RD3</w:t>
      </w:r>
      <w:r>
        <w:rPr>
          <w:i/>
        </w:rPr>
        <w:tab/>
        <w:t>SpaceWire - Links, nodes, routers and networks</w:t>
      </w:r>
      <w:r>
        <w:t>. ECSS-E-ST-50-12A. 24/01/2003</w:t>
      </w:r>
      <w:bookmarkEnd w:id="6"/>
    </w:p>
    <w:p>
      <w:pPr>
        <w:pStyle w:val="ADRD"/>
      </w:pPr>
      <w:bookmarkStart w:id="7" w:name="RD4"/>
      <w:r>
        <w:t>RD4</w:t>
      </w:r>
      <w:r>
        <w:rPr>
          <w:i/>
        </w:rPr>
        <w:tab/>
        <w:t>SpaceWire - CCSDS packet transfer protocol</w:t>
      </w:r>
      <w:r>
        <w:t>. ECSS-E-ST-50-53C</w:t>
      </w:r>
      <w:bookmarkEnd w:id="7"/>
    </w:p>
    <w:p>
      <w:pPr>
        <w:pStyle w:val="ADRD"/>
      </w:pPr>
      <w:bookmarkStart w:id="8" w:name="RD5"/>
      <w:r>
        <w:t>RD5</w:t>
      </w:r>
      <w:r>
        <w:rPr>
          <w:i/>
        </w:rPr>
        <w:tab/>
        <w:t>Space engineering. Electric and electronic</w:t>
      </w:r>
      <w:r>
        <w:t>. ECSS-E-20B issue 8 rev 0. 03/2007</w:t>
      </w:r>
      <w:bookmarkEnd w:id="8"/>
    </w:p>
    <w:p>
      <w:pPr>
        <w:pStyle w:val="ADRD"/>
      </w:pPr>
      <w:bookmarkStart w:id="9" w:name="RD6"/>
      <w:r>
        <w:t>RD6</w:t>
      </w:r>
      <w:r>
        <w:rPr>
          <w:i/>
        </w:rPr>
        <w:tab/>
        <w:t>Spacecraft discrete interfaces</w:t>
      </w:r>
      <w:r>
        <w:t>. ECSS-E-ST-50-14C</w:t>
      </w:r>
      <w:bookmarkEnd w:id="9"/>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Product Perspective</w:t>
      </w:r>
    </w:p>
    <w:p>
      <w:r>
        <w:t xml:space="preserve">The SRG Mission has been conceived to study the effect of high energy particles in </w:t>
      </w:r>
      <w:hyperlink w:anchor="TBD Environment">
        <w:r>
          <w:rPr>
            <w:i/>
          </w:rPr>
          <w:t>TBD Environment</w:t>
        </w:r>
      </w:hyperlink>
      <w:r>
        <w:t xml:space="preserve">. The SRG Energetic Particle Detector (EPD) suite consists of four sensors measuring </w:t>
      </w:r>
      <w:hyperlink w:anchor="TBD Particles">
        <w:r>
          <w:rPr>
            <w:i/>
          </w:rPr>
          <w:t>TBD Particles</w:t>
        </w:r>
      </w:hyperlink>
      <w:r>
        <w:t>.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w:t>
      </w:r>
      <w:hyperlink w:anchor="TBD EEPROMMBytes">
        <w:r>
          <w:rPr>
            <w:i/>
          </w:rPr>
          <w:t>TBD MBytes</w:t>
        </w:r>
      </w:hyperlink>
      <w:r>
        <w:t>.</w:t>
      </w:r>
    </w:p>
    <w:p>
      <w:r>
        <w:t>The non-volatile memory available for the storage of SRG EPD ICU persistent data and Application Software will be .</w:t>
      </w:r>
      <w:hyperlink w:anchor="TBD PROMMBytes">
        <w:r>
          <w:rPr>
            <w:i/>
          </w:rPr>
          <w:t>TBD MBytes</w:t>
        </w:r>
      </w:hyperlink>
      <w:r>
        <w:t>.</w:t>
      </w:r>
    </w:p>
    <w:p>
      <w:r>
        <w:t>The memory available to SRG EPD ICU Software for sensor science storage will be limited to .</w:t>
      </w:r>
      <w:hyperlink w:anchor="TBD RAMMBytes">
        <w:r>
          <w:rPr>
            <w:i/>
          </w:rPr>
          <w:t>TBD MBytes</w:t>
        </w:r>
      </w:hyperlink>
      <w:r>
        <w:t>.</w:t>
      </w:r>
    </w:p>
    <w:p>
      <w:pPr>
        <w:pStyle w:val="Heading2"/>
      </w:pPr>
      <w:r>
        <w:t>Operational Environment</w:t>
      </w:r>
    </w:p>
    <w:p>
      <w:r>
        <w:t>Figure 1 illustrates the EPD Instrument Control Unit operational environment.</w:t>
      </w:r>
    </w:p>
    <w:p>
      <w:bookmarkStart w:id="10" w:name="ICU IFs"/>
      <w:r>
        <w:drawing>
          <wp:inline distT="0" distB="0" distL="0" distR="0">
            <wp:extent cx="4815840" cy="3121152"/>
            <wp:docPr id="1" name="Figure 1"/>
            <a:graphic xmlns:a="http://schemas.openxmlformats.org/drawingml/2006/main">
              <a:graphicData uri="http://schemas.openxmlformats.org/drawingml/2006/picture">
                <pic:pic xmlns:pic="http://schemas.openxmlformats.org/drawingml/2006/picture">
                  <pic:nvPicPr>
                    <pic:cNvPr id="1" name="SSS_images/icu_ifs.png"/>
                    <pic:cNvPicPr/>
                  </pic:nvPicPr>
                  <pic:blipFill>
                    <a:blip r:embed="rId6"/>
                    <a:stretch>
                      <a:fillRect/>
                    </a:stretch>
                  </pic:blipFill>
                  <pic:spPr>
                    <a:xfrm>
                      <a:off x="0" y="0"/>
                      <a:ext cx="4815840" cy="3121152"/>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2"/>
      </w:pPr>
      <w:r>
        <w:t>Assumptions and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w:t>
      </w:r>
    </w:p>
    <w:tbl>
      <w:tblPr>
        <w:tblW w:w="5000" w:type="pct"/>
        <w:tblStyle w:val="TableGridFirstRowColummShadow"/>
      </w:tblPr>
      <w:tr>
        <w:tc>
          <w:tcPr>
            <w:tcW w:w="1000" w:type="pct"/>
          </w:tcPr>
          <w:p>
            <w:r>
              <w:rPr>
                <w:b/>
              </w:rPr>
              <w:t>Name</w:t>
            </w:r>
          </w:p>
        </w:tc>
        <w:tc>
          <w:tcPr>
					</w:tcPr>
          <w:p>
            <w:r>
              <w:rPr>
                <w:b/>
              </w:rPr>
              <w:t>SSS-ICUSW-GE-010</w:t>
            </w:r>
          </w:p>
        </w:tc>
      </w:tr>
      <w:tr>
        <w:tc>
          <w:tcPr>
					</w:tcPr>
          <w:p>
            <w:r>
              <w:rPr>
                <w:b/>
              </w:rPr>
              <w:t>Description</w:t>
            </w:r>
          </w:p>
        </w:tc>
        <w:tc>
          <w:tcPr>
					</w:tcPr>
          <w:p>
            <w:r>
              <w:t xml:space="preserve">The ICU SW Development Process shall be compliant to a tailored version of the software standard </w:t>
            </w:r>
            <w:hyperlink w:anchor="AD1">
              <w:r>
                <w:rPr>
                  <w:i/>
                </w:rPr>
                <w:t>AD1</w:t>
              </w:r>
            </w:hyperlink>
            <w:r>
              <w:t>.</w:t>
            </w:r>
          </w:p>
        </w:tc>
      </w:tr>
      <w:tr>
        <w:tc>
          <w:tcPr>
					</w:tcPr>
          <w:p>
            <w:r>
              <w:rPr>
                <w:b/>
              </w:rPr>
              <w:t>Validation Method</w:t>
            </w:r>
          </w:p>
        </w:tc>
        <w:tc>
          <w:tcPr>
					</w:tcPr>
          <w:p>
            <w:r>
              <w:rPr>
                <w:b/>
              </w:rPr>
              <w:t>R</w:t>
            </w:r>
          </w:p>
        </w:tc>
      </w:tr>
    </w:tbl>
    <w:p>
      <w:pPr>
        <w:pStyle w:val="Heading2"/>
      </w:pPr>
      <w:r>
        <w:t>Capabilities</w:t>
      </w:r>
    </w:p>
    <w:tbl>
      <w:tblPr>
        <w:tblW w:w="5000" w:type="pct"/>
        <w:tblStyle w:val="TableGridFirstRowColummShadow"/>
      </w:tblPr>
      <w:tr>
        <w:tc>
          <w:tcPr>
            <w:tcW w:w="1000" w:type="pct"/>
          </w:tcPr>
          <w:p>
            <w:r>
              <w:rPr>
                <w:b/>
              </w:rPr>
              <w:t>Name</w:t>
            </w:r>
          </w:p>
        </w:tc>
        <w:tc>
          <w:tcPr>
					</w:tcPr>
          <w:p>
            <w:r>
              <w:rPr>
                <w:b/>
              </w:rPr>
              <w:t>SSS-ICUSW-CA-010</w:t>
            </w:r>
          </w:p>
        </w:tc>
      </w:tr>
      <w:tr>
        <w:tc>
          <w:tcPr>
					</w:tcPr>
          <w:p>
            <w:r>
              <w:rPr>
                <w:b/>
              </w:rPr>
              <w:t>Description</w:t>
            </w:r>
          </w:p>
        </w:tc>
        <w:tc>
          <w:tcPr>
					</w:tcPr>
          <w:p>
            <w:r>
              <w:t>The ICU-SW shall accept telecommands within an interval of 1 second after its reception.</w:t>
            </w:r>
          </w:p>
        </w:tc>
      </w:tr>
      <w:tr>
        <w:tc>
          <w:tcPr>
					</w:tcPr>
          <w:p>
            <w:r>
              <w:rPr>
                <w:b/>
              </w:rPr>
              <w:t>Validation Method</w:t>
            </w:r>
          </w:p>
        </w:tc>
        <w:tc>
          <w:tcPr>
					</w:tcPr>
          <w:p>
            <w:r>
              <w:rPr>
                <w:b/>
              </w:rPr>
              <w:t>A</w:t>
            </w:r>
          </w:p>
        </w:tc>
      </w:tr>
    </w:tbl>
    <w:p>
      <w:pPr>
        <w:pStyle w:val="Heading2"/>
      </w:pPr>
      <w:r>
        <w:t>System Interface</w:t>
      </w:r>
    </w:p>
    <w:tbl>
      <w:tblPr>
        <w:tblW w:w="5000" w:type="pct"/>
        <w:tblStyle w:val="TableGridFirstRowColummShadow"/>
      </w:tblPr>
      <w:tr>
        <w:tc>
          <w:tcPr>
            <w:tcW w:w="1000" w:type="pct"/>
          </w:tcPr>
          <w:p>
            <w:r>
              <w:rPr>
                <w:b/>
              </w:rPr>
              <w:t>Name</w:t>
            </w:r>
          </w:p>
        </w:tc>
        <w:tc>
          <w:tcPr>
					</w:tcPr>
          <w:p>
            <w:r>
              <w:rPr>
                <w:b/>
              </w:rPr>
              <w:t>SSS-ICUSW-IF-010</w:t>
            </w:r>
          </w:p>
        </w:tc>
      </w:tr>
      <w:tr>
        <w:tc>
          <w:tcPr>
					</w:tcPr>
          <w:p>
            <w:r>
              <w:rPr>
                <w:b/>
              </w:rPr>
              <w:t>Description</w:t>
            </w:r>
          </w:p>
        </w:tc>
        <w:tc>
          <w:tcPr>
					</w:tcPr>
          <w:p>
            <w:r>
              <w:t>The ICUSW shall support a simplified version of PUS service 1: Telecommand verification service.</w:t>
            </w:r>
          </w:p>
        </w:tc>
      </w:tr>
      <w:tr>
        <w:tc>
          <w:tcPr>
					</w:tcPr>
          <w:p>
            <w:r>
              <w:rPr>
                <w:b/>
              </w:rPr>
              <w:t>Validation Method</w:t>
            </w:r>
          </w:p>
        </w:tc>
        <w:tc>
          <w:tcPr>
					</w:tcPr>
          <w:p>
            <w:r>
              <w:rPr>
                <w:b/>
              </w:rPr>
              <w:t>T</w:t>
            </w:r>
          </w:p>
        </w:tc>
      </w:tr>
    </w:tbl>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2"/>
      </w:pPr>
      <w:r>
        <w:t>Software Maintenance</w:t>
      </w:r>
    </w:p>
    <w:p>
      <w:pPr>
        <w:pStyle w:val="Heading2"/>
      </w:pPr>
      <w:r>
        <w:t>System Software Observability</w:t>
      </w:r>
    </w:p>
    <w:p>
      <w:pPr>
        <w:pStyle w:val="Heading1"/>
      </w:pPr>
      <w:r>
        <w:t>Verification, Validation and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and Validation Process</w:t>
      </w:r>
    </w:p>
    <w:tbl>
      <w:tblPr>
        <w:tblW w:w="5000" w:type="pct"/>
        <w:tblStyle w:val="TableGridFirstRowColummShadow"/>
      </w:tblPr>
      <w:tr>
        <w:tc>
          <w:tcPr>
            <w:tcW w:w="1000" w:type="pct"/>
          </w:tcPr>
          <w:p>
            <w:r>
              <w:rPr>
                <w:b/>
              </w:rPr>
              <w:t>Name</w:t>
            </w:r>
          </w:p>
        </w:tc>
        <w:tc>
          <w:tcPr>
					</w:tcPr>
          <w:p>
            <w:r>
              <w:rPr>
                <w:b/>
              </w:rPr>
              <w:t>SSS-ICUSW-VV-010</w:t>
            </w:r>
          </w:p>
        </w:tc>
      </w:tr>
      <w:tr>
        <w:tc>
          <w:tcPr>
					</w:tcPr>
          <w:p>
            <w:r>
              <w:rPr>
                <w:b/>
              </w:rPr>
              <w:t>Description</w:t>
            </w:r>
          </w:p>
        </w:tc>
        <w:tc>
          <w:tcPr>
					</w:tcPr>
          <w:p>
            <w:r>
              <w:t xml:space="preserve">The ICU Software verification and validation activities shall be defined in a Software Validation and Verification Plan according to the software standard </w:t>
            </w:r>
            <w:hyperlink w:anchor="AD1">
              <w:r>
                <w:rPr>
                  <w:i/>
                </w:rPr>
                <w:t>ECSS-E-ST-40C</w:t>
              </w:r>
            </w:hyperlink>
            <w:r>
              <w:t>.</w:t>
            </w:r>
          </w:p>
        </w:tc>
      </w:tr>
      <w:tr>
        <w:tc>
          <w:tcPr>
					</w:tcPr>
          <w:p>
            <w:r>
              <w:rPr>
                <w:b/>
              </w:rPr>
              <w:t>Validation Method</w:t>
            </w:r>
          </w:p>
        </w:tc>
        <w:tc>
          <w:tcPr>
					</w:tcPr>
          <w:p>
            <w:r>
              <w:rPr>
                <w:b/>
              </w:rPr>
              <w:t>R</w:t>
            </w:r>
          </w:p>
        </w:tc>
      </w:tr>
    </w:tbl>
    <w:p>
      <w:pPr>
        <w:pStyle w:val="Heading2"/>
      </w:pPr>
      <w:r>
        <w:t>Validation Approach</w:t>
      </w:r>
    </w:p>
    <w:tbl>
      <w:tblPr>
        <w:tblW w:w="5000" w:type="pct"/>
        <w:tblStyle w:val="TableGridFirstRowColummShadow"/>
      </w:tblPr>
      <w:tr>
        <w:tc>
          <w:tcPr>
            <w:tcW w:w="1000" w:type="pct"/>
          </w:tcPr>
          <w:p>
            <w:r>
              <w:rPr>
                <w:b/>
              </w:rPr>
              <w:t>Name</w:t>
            </w:r>
          </w:p>
        </w:tc>
        <w:tc>
          <w:tcPr>
					</w:tcPr>
          <w:p>
            <w:r>
              <w:rPr>
                <w:b/>
              </w:rPr>
              <w:t>SSS-ICUSW-VA-010</w:t>
            </w:r>
          </w:p>
        </w:tc>
      </w:tr>
      <w:tr>
        <w:tc>
          <w:tcPr>
					</w:tcPr>
          <w:p>
            <w:r>
              <w:rPr>
                <w:b/>
              </w:rPr>
              <w:t>Description</w:t>
            </w:r>
          </w:p>
        </w:tc>
        <w:tc>
          <w:tcPr>
					</w:tcPr>
          <w:p>
            <w:r>
              <w:t>The SRG EPD ICU Software specification specific requirements shall be validated primarily by test or analysis, being the analysis the required method when the specific requirement imply the fulfillment of temporal restrictions.</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SSS-ICUSW-VA-020</w:t>
            </w:r>
          </w:p>
        </w:tc>
      </w:tr>
      <w:tr>
        <w:tc>
          <w:tcPr>
					</w:tcPr>
          <w:p>
            <w:r>
              <w:rPr>
                <w:b/>
              </w:rPr>
              <w:t>Description</w:t>
            </w:r>
          </w:p>
        </w:tc>
        <w:tc>
          <w:tcPr>
					</w:tcPr>
          <w:p>
            <w:r>
              <w:t>The unit and integration tests of the SRG EPD ICU Software shall be executed primarily on ICU engineering models or simulators of the ICU processor, so the object code behavior of the item under test can be tested.</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SSS-ICUSW-VA-030</w:t>
            </w:r>
          </w:p>
        </w:tc>
      </w:tr>
      <w:tr>
        <w:tc>
          <w:tcPr>
					</w:tcPr>
          <w:p>
            <w:r>
              <w:rPr>
                <w:b/>
              </w:rPr>
              <w:t>Description</w:t>
            </w:r>
          </w:p>
        </w:tc>
        <w:tc>
          <w:tcPr>
					</w:tcPr>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SSS-ICUSW-VA-040</w:t>
            </w:r>
          </w:p>
        </w:tc>
      </w:tr>
      <w:tr>
        <w:tc>
          <w:tcPr>
					</w:tcPr>
          <w:p>
            <w:r>
              <w:rPr>
                <w:b/>
              </w:rPr>
              <w:t>Description</w:t>
            </w:r>
          </w:p>
        </w:tc>
        <w:tc>
          <w:tcPr>
					</w:tcPr>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SSS-ICUSW-VA-050</w:t>
            </w:r>
          </w:p>
        </w:tc>
      </w:tr>
      <w:tr>
        <w:tc>
          <w:tcPr>
					</w:tcPr>
          <w:p>
            <w:r>
              <w:rPr>
                <w:b/>
              </w:rPr>
              <w:t>Description</w:t>
            </w:r>
          </w:p>
        </w:tc>
        <w:tc>
          <w:tcPr>
					</w:tcPr>
          <w:p>
            <w:r>
              <w:t>The acceptance tests of the SRG EPD ICU Software shall be executed on the ICU PFM models, using PFM model of the sensors, and the PFM S/C.</w:t>
            </w:r>
          </w:p>
        </w:tc>
      </w:tr>
      <w:tr>
        <w:tc>
          <w:tcPr>
					</w:tcPr>
          <w:p>
            <w:r>
              <w:rPr>
                <w:b/>
              </w:rPr>
              <w:t>Validation Method</w:t>
            </w:r>
          </w:p>
        </w:tc>
        <w:tc>
          <w:tcPr>
					</w:tcPr>
          <w:p>
            <w:r>
              <w:rPr>
                <w:b/>
              </w:rPr>
              <w:t>R</w:t>
            </w:r>
          </w:p>
        </w:tc>
      </w:tr>
    </w:tbl>
    <w:p>
      <w:pPr>
        <w:pStyle w:val="Heading2"/>
      </w:pPr>
      <w:r>
        <w:t>Validation</w:t>
      </w:r>
    </w:p>
    <w:tbl>
      <w:tblPr>
        <w:tblW w:w="5000" w:type="pct"/>
        <w:tblStyle w:val="TableGridFirstRowColummShadow"/>
      </w:tblPr>
      <w:tr>
        <w:tc>
          <w:tcPr>
            <w:tcW w:w="1000" w:type="pct"/>
          </w:tcPr>
          <w:p>
            <w:r>
              <w:rPr>
                <w:b/>
              </w:rPr>
              <w:t>Name</w:t>
            </w:r>
          </w:p>
        </w:tc>
        <w:tc>
          <w:tcPr>
					</w:tcPr>
          <w:p>
            <w:r>
              <w:rPr>
                <w:b/>
              </w:rPr>
              <w:t>SSS-ICUSW-VR-010</w:t>
            </w:r>
          </w:p>
        </w:tc>
      </w:tr>
      <w:tr>
        <w:tc>
          <w:tcPr>
					</w:tcPr>
          <w:p>
            <w:r>
              <w:rPr>
                <w:b/>
              </w:rPr>
              <w:t>Description</w:t>
            </w:r>
          </w:p>
        </w:tc>
        <w:tc>
          <w:tcPr>
					</w:tcPr>
          <w:p>
            <w:r>
              <w:t>The SRG EPD ICU Software specification specific requirement shall include a validation method from one of the following methods: Review, Analysis, Inspection, Test, Similarity</w:t>
            </w:r>
          </w:p>
        </w:tc>
      </w:tr>
      <w:tr>
        <w:tc>
          <w:tcPr>
					</w:tcPr>
          <w:p>
            <w:r>
              <w:rPr>
                <w:b/>
              </w:rPr>
              <w:t>Validation Method</w:t>
            </w:r>
          </w:p>
        </w:tc>
        <w:tc>
          <w:tcPr>
					</w:tcPr>
          <w:p>
            <w:r>
              <w:rPr>
                <w:b/>
              </w:rPr>
              <w:t>R</w:t>
            </w:r>
          </w:p>
        </w:tc>
      </w:tr>
    </w:tbl>
    <w:p>
      <w:pPr>
        <w:pStyle w:val="Heading2"/>
      </w:pPr>
      <w:r>
        <w:t>Verification</w:t>
      </w:r>
    </w:p>
    <w:tbl>
      <w:tblPr>
        <w:tblW w:w="5000" w:type="pct"/>
        <w:tblStyle w:val="TableGridFirstRowColummShadow"/>
      </w:tblPr>
      <w:tr>
        <w:tc>
          <w:tcPr>
            <w:tcW w:w="1000" w:type="pct"/>
          </w:tcPr>
          <w:p>
            <w:r>
              <w:rPr>
                <w:b/>
              </w:rPr>
              <w:t>Name</w:t>
            </w:r>
          </w:p>
        </w:tc>
        <w:tc>
          <w:tcPr>
					</w:tcPr>
          <w:p>
            <w:r>
              <w:rPr>
                <w:b/>
              </w:rPr>
              <w:t>SSS-ICUSW-VE-010</w:t>
            </w:r>
          </w:p>
        </w:tc>
      </w:tr>
      <w:tr>
        <w:tc>
          <w:tcPr>
					</w:tcPr>
          <w:p>
            <w:r>
              <w:rPr>
                <w:b/>
              </w:rPr>
              <w:t>Description</w:t>
            </w:r>
          </w:p>
        </w:tc>
        <w:tc>
          <w:tcPr>
					</w:tcPr>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Pr>
          <w:p>
            <w:r>
              <w:rPr>
                <w:b/>
              </w:rPr>
              <w:t>Validation Method</w:t>
            </w:r>
          </w:p>
        </w:tc>
        <w:tc>
          <w:tcPr>
					</w:tcPr>
          <w:p>
            <w:r>
              <w:rPr>
                <w:b/>
              </w:rPr>
              <w:t>R</w:t>
            </w:r>
          </w:p>
        </w:tc>
      </w:tr>
    </w:tbl>
    <w:p>
      <w:pPr>
        <w:pStyle w:val="Heading1"/>
      </w:pPr>
      <w:r>
        <w:t>Logical Models</w:t>
      </w:r>
    </w:p>
    <w:p>
      <w:pPr>
        <w:pStyle w:val="Heading1"/>
      </w:pPr>
      <w:r>
        <w:t>Annex: TBCs/TBDs</w:t>
      </w:r>
    </w:p>
    <w:p>
      <w:r>
        <w:rPr>
          <w:b/>
        </w:rPr>
        <w:t>TBCs</w:t>
      </w:r>
    </w:p>
    <w:p>
      <w:bookmarkStart w:id="13" w:name="SampleSSSTBC1"/>
      <w:r>
        <w:rPr>
          <w:i/>
        </w:rPr>
        <w:t>SampleSSSTBC1</w:t>
      </w:r>
      <w:r>
        <w:t xml:space="preserve">: </w:t>
      </w:r>
      <w:r>
        <w:t>Sample SSS TBC 1</w:t>
      </w:r>
      <w:bookmarkEnd w:id="13"/>
    </w:p>
    <w:p>
      <w:r>
        <w:rPr>
          <w:b/>
        </w:rPr>
        <w:t>TBDs</w:t>
      </w:r>
    </w:p>
    <w:p>
      <w:bookmarkStart w:id="14" w:name="TBD Environment"/>
      <w:r>
        <w:rPr>
          <w:i/>
        </w:rPr>
        <w:t>TBD Environment</w:t>
      </w:r>
      <w:r>
        <w:t xml:space="preserve">: </w:t>
      </w:r>
      <w:r>
        <w:t>Environment</w:t>
      </w:r>
      <w:bookmarkEnd w:id="14"/>
    </w:p>
    <w:p>
      <w:bookmarkStart w:id="15" w:name="TBD Particles"/>
      <w:r>
        <w:rPr>
          <w:i/>
        </w:rPr>
        <w:t>TBD Particles</w:t>
      </w:r>
      <w:r>
        <w:t xml:space="preserve">: </w:t>
      </w:r>
      <w:r>
        <w:t>Particles</w:t>
      </w:r>
      <w:bookmarkEnd w:id="15"/>
    </w:p>
    <w:p>
      <w:bookmarkStart w:id="16" w:name="TBD PROMMBytes"/>
      <w:r>
        <w:rPr>
          <w:i/>
        </w:rPr>
        <w:t>TBD PROMMBytes</w:t>
      </w:r>
      <w:r>
        <w:t xml:space="preserve">: </w:t>
      </w:r>
      <w:r>
        <w:t>MBytes available at PROM</w:t>
      </w:r>
      <w:bookmarkEnd w:id="16"/>
    </w:p>
    <w:p>
      <w:bookmarkStart w:id="17" w:name="TBD EEPROMMBytes"/>
      <w:r>
        <w:rPr>
          <w:i/>
        </w:rPr>
        <w:t>TBD EEPROMMBytes</w:t>
      </w:r>
      <w:r>
        <w:t xml:space="preserve">: </w:t>
      </w:r>
      <w:r>
        <w:t>MBytes available at EEPROM</w:t>
      </w:r>
      <w:bookmarkEnd w:id="17"/>
    </w:p>
    <w:p>
      <w:bookmarkStart w:id="18" w:name="TBD RAMMBytes"/>
      <w:r>
        <w:rPr>
          <w:i/>
        </w:rPr>
        <w:t>TBD RAMMBytes</w:t>
      </w:r>
      <w:r>
        <w:t xml:space="preserve">: </w:t>
      </w:r>
      <w:r>
        <w:t>MBytes available at RAM</w:t>
      </w:r>
      <w:bookmarkEnd w:id="18"/>
    </w:p>
    <w:p>
      <w:bookmarkStart w:id="19" w:name="TBD DBG"/>
      <w:r>
        <w:rPr>
          <w:i/>
        </w:rPr>
        <w:t>TBD DBG</w:t>
      </w:r>
      <w:r>
        <w:t xml:space="preserve">: </w:t>
      </w:r>
      <w:r>
        <w:t>TBD Debug</w:t>
      </w:r>
      <w:bookmarkEnd w:id="19"/>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