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pPr>
        <w:pStyle w:val="Heading2"/>
      </w:pPr>
      <w:r>
        <w:t>Traceability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            <w:vMerge w:val="restart"/>
          </w:tcPr>
          <w:p>
            <w:r>
              <w:t>SSS-ICUSW-GE-010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SRS-ICUSW-GE-010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SRS-ICUSW-GE-020</w:t>
            </w:r>
          </w:p>
        </w:tc>
      </w:tr>
      <w:tr>
        <w:tc>
          <w:tcPr>
            <w:vMerge w:val="restart"/>
          </w:tcPr>
          <w:p>
            <w:r>
              <w:t>SSS-ICUSW-CA-010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SRS-ICUSW-FU-010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SRS-ICUSW-PE-010</w:t>
            </w:r>
          </w:p>
        </w:tc>
      </w:tr>
      <w:tr>
        <w:tc>
          <w:tcPr>
            <w:vMerge w:val="restart"/>
          </w:tcPr>
          <w:p>
            <w:r>
              <w:t>SSS-ICUSW-IF-010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SRS-ICUSW-IF-010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SRS-ICUSW-IF-020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  <w:p>
      <w:pPr>
        <w:pStyle w:val="Heading2"/>
      </w:pPr>
      <w:r>
        <w:t>Feasibility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FT_SOLO_EPD_ICU_BSW_SERV_17-0040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_001.txt</w:t>
            </w:r>
            <w:r>
              <w:t xml:space="preserve">. Test began at </w:t>
            </w:r>
            <w:r>
              <w:rPr>
                <w:b/>
              </w:rPr>
              <w:t>Wed Mar 11 12:22:15 2020</w:t>
            </w:r>
            <w:r>
              <w:t xml:space="preserve"> (line 24), XXXX </w:t>
            </w:r>
            <w:r>
              <w:t xml:space="preserve">ended at </w:t>
            </w:r>
            <w:r>
              <w:rPr>
                <w:b/>
              </w:rPr>
              <w:t>Wed Mar 11 12:22:15 2020</w:t>
            </w:r>
            <w:r>
              <w:t xml:space="preserve"> (line 76).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Sample Procedure 1</w:t>
            </w:r>
          </w:p>
        </w:tc>
      </w:tr>
      <w:tr>
        <w:tc>
          <w:tcPr>
            <w:tcW w:w="2500" w:type="pct"/>
          </w:tcPr>
          <w:p>
            <w:r>
              <w:t>Sample Procedure 2</w:t>
            </w:r>
          </w:p>
        </w:tc>
      </w:tr>
    </w:tbl>
    <w:p>
      <w:pPr>
        <w:pStyle w:val="Heading1"/>
      </w:pPr>
      <w:r>
        <w:t>Annex: TBCs/TBDs</w:t>
      </w:r>
    </w:p>
    <w:p>
      <w:r>
        <w:rPr>
          <w:b/>
        </w:rPr>
        <w:t>TBCs</w:t>
      </w:r>
    </w:p>
    <w:p>
      <w:bookmarkStart w:id="2" w:name="SampleSVRTBC1"/>
      <w:r>
        <w:rPr>
          <w:i/>
        </w:rPr>
        <w:t>SampleSVRTBC1</w:t>
      </w:r>
      <w:r>
        <w:t xml:space="preserve">: </w:t>
      </w:r>
      <w:r>
        <w:rPr>
          <w:i/>
        </w:rPr>
        <w:t>SampleSRSTBC1</w:t>
      </w:r>
      <w:r>
        <w:t xml:space="preserve"> at </w:t>
      </w:r>
      <w:r>
        <w:rPr>
          <w:i/>
        </w:rPr>
        <w:t>SRG-EPD ICU Software Requirements Specification</w:t>
      </w:r>
      <w:r>
        <w:t xml:space="preserve"> (SRG-EPD-SRS-001)</w:t>
      </w:r>
      <w:bookmarkEnd w:id="2"/>
    </w:p>
    <w:p>
      <w:bookmarkStart w:id="3" w:name="SampleSVRTBC2"/>
      <w:r>
        <w:rPr>
          <w:i/>
        </w:rPr>
        <w:t>SampleSVRTBC2</w:t>
      </w:r>
      <w:r>
        <w:t xml:space="preserve">: </w:t>
      </w:r>
      <w:r>
        <w:t>Sample SVR TBC 2</w:t>
      </w:r>
      <w:bookmarkEnd w:id="3"/>
    </w:p>
    <w:p>
      <w:r>
        <w:rPr>
          <w:b/>
        </w:rPr>
        <w:t>TBDs</w:t>
      </w:r>
    </w:p>
    <w:p>
      <w:bookmarkStart w:id="4" w:name="SampleSVRTBD1"/>
      <w:r>
        <w:rPr>
          <w:i/>
        </w:rPr>
        <w:t>SampleSVRTBD1</w:t>
      </w:r>
      <w:r>
        <w:t xml:space="preserve">: </w:t>
      </w:r>
      <w:r>
        <w:rPr>
          <w:i/>
        </w:rPr>
        <w:t>SampleTestSetupTBD</w:t>
      </w:r>
      <w:r>
        <w:t xml:space="preserve"> at </w:t>
      </w:r>
      <w:r>
        <w:rPr>
          <w:i/>
        </w:rPr>
        <w:t>Test Setup Sample</w:t>
      </w:r>
      <w:r>
        <w:t xml:space="preserve"> (TSU-001)</w:t>
      </w:r>
      <w:bookmarkEnd w:id="4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