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\.rels><?xml version="1.0" encoding="UTF-8" standalone="yes"?><Relationships xmlns="http://schemas.openxmlformats.org/package/2006/relationships">	<Relationship Id="rId1" Type="http://schemas.openxmlformats.org/officeDocument/2006/relationships/officeDocument" Target="word/document.xml"/></Relationships>
</file>

<file path=word\_rels\document.xml.rels><?xml version="1.0" encoding="UTF-8" standalone="yes"?>
<Relationships xmlns="http://schemas.openxmlformats.org/package/2006/relationships">
	<Relationship Id="rId1" Type="http://schemas.openxmlformats.org/officeDocument/2006/relationships/fontTable" Target="fontTable.xml"/>
	<Relationship Id="rId2" Type="http://schemas.openxmlformats.org/officeDocument/2006/relationships/numbering" Target="numbering.xml"/>
	<Relationship Id="rId3" Type="http://schemas.openxmlformats.org/officeDocument/2006/relationships/settings" Target="settings.xml"/>
	<Relationship Id="rId4" Type="http://schemas.openxmlformats.org/officeDocument/2006/relationships/styles" Target="styles.xml"/>
	<Relationship Id="rId5" Type="http://schemas.openxmlformats.org/officeDocument/2006/relationships/theme" Target="theme/theme1.xml"/>
</Relationships>
</file>

<file path=word\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Heading1"/>
      </w:pPr>
      <w:r>
        <w:t>Introduction</w:t>
      </w:r>
    </w:p>
    <w:p>
      <w:pPr>
        <w:pStyle w:val="Heading2"/>
      </w:pPr>
      <w:r>
        <w:t>Purpose</w:t>
      </w:r>
    </w:p>
    <w:p>
      <w:r>
        <w:t>Introduction Purpose text</w:t>
      </w:r>
    </w:p>
    <w:p>
      <w:pPr>
        <w:pStyle w:val="Heading1"/>
      </w:pPr>
      <w:r>
        <w:t>Applicable Documents</w:t>
      </w:r>
    </w:p>
    <w:p>
      <w:pPr>
        <w:pStyle w:val="ADRD"/>
      </w:pPr>
      <w:bookmarkStart w:id="0" w:name="AD1"/>
      <w:r>
        <w:t>AD1</w:t>
      </w:r>
      <w:r>
        <w:rPr>
          <w:i/>
        </w:rPr>
        <w:tab/>
        <w:t>SRG-EPD Software System Specification</w:t>
      </w:r>
      <w:r>
        <w:t>. SRG-EPD-SSS-0001</w:t>
      </w:r>
      <w:bookmarkEnd w:id="0"/>
    </w:p>
    <w:p>
      <w:pPr>
        <w:pStyle w:val="Heading1"/>
      </w:pPr>
      <w:r>
        <w:t>Reference Documents</w:t>
      </w:r>
    </w:p>
    <w:p>
      <w:pPr>
        <w:pStyle w:val="ADRD"/>
      </w:pPr>
      <w:bookmarkStart w:id="1" w:name="RD1"/>
      <w:r>
        <w:t>RD1</w:t>
      </w:r>
      <w:r>
        <w:rPr>
          <w:i/>
        </w:rPr>
        <w:tab/>
        <w:t>SRG-EPD Software System Specification</w:t>
      </w:r>
      <w:r>
        <w:t>. SRG-EPD-SSS-0001</w:t>
      </w:r>
      <w:bookmarkEnd w:id="1"/>
    </w:p>
    <w:p>
      <w:pPr>
        <w:pStyle w:val="Heading1"/>
      </w:pPr>
      <w:r>
        <w:t>Terms, Definitions and Abbreviations</w:t>
      </w:r>
    </w:p>
    <w:p>
      <w:pPr>
        <w:pStyle w:val="TDA"/>
      </w:pPr>
      <w:r>
        <w:t>AD</w:t>
      </w:r>
      <w:r>
        <w:tab/>
        <w:t>Applicable Document</w:t>
      </w:r>
    </w:p>
    <w:p>
      <w:pPr>
        <w:pStyle w:val="Heading1"/>
      </w:pPr>
      <w:r>
        <w:t>Software Overview</w:t>
      </w:r>
    </w:p>
    <w:p>
      <w:r>
        <w:t>Software Overview text</w:t>
      </w:r>
    </w:p>
    <w:p>
      <w:pPr>
        <w:pStyle w:val="Heading1"/>
      </w:pPr>
      <w:r>
        <w:t>Task Identification</w:t>
      </w:r>
    </w:p>
    <w:p>
      <w:pPr>
        <w:pStyle w:val="Heading2"/>
      </w:pPr>
      <w:r>
        <w:t>Task Criteria</w:t>
      </w:r>
    </w:p>
    <w:p>
      <w:pPr>
        <w:pStyle w:val="Heading2"/>
      </w:pPr>
      <w:r>
        <w:t>Features to be Tested</w:t>
      </w:r>
    </w:p>
    <w:p>
      <w:pPr>
        <w:pStyle w:val="Heading2"/>
      </w:pPr>
      <w:r>
        <w:t>Features not to be Tested</w:t>
      </w:r>
    </w:p>
    <w:p>
      <w:pPr>
        <w:pStyle w:val="Heading2"/>
      </w:pPr>
      <w:r>
        <w:t>Test Pass Fail Criteria</w:t>
      </w:r>
    </w:p>
    <w:p>
      <w:pPr>
        <w:pStyle w:val="Heading2"/>
      </w:pPr>
      <w:r>
        <w:t>Items that can not be Validated</w:t>
      </w:r>
    </w:p>
    <w:p>
      <w:pPr>
        <w:pStyle w:val="Heading2"/>
      </w:pPr>
      <w:r>
        <w:t>Manually Automatic Generated Code</w:t>
      </w:r>
    </w:p>
    <w:p>
      <w:pPr>
        <w:pStyle w:val="Heading1"/>
      </w:pPr>
      <w:r>
        <w:t>Testing Specification Design</w:t>
      </w:r>
    </w:p>
    <w:p>
      <w:pPr>
        <w:pStyle w:val="Heading2"/>
      </w:pPr>
      <w:r>
        <w:t>General</w:t>
      </w:r>
    </w:p>
    <w:p>
      <w:pPr>
        <w:pStyle w:val="Heading3"/>
      </w:pPr>
      <w:r>
        <w:t>Test setup document</w:t>
      </w:r>
    </w:p>
    <w:p>
      <w:r>
        <w:rPr>
          <w:i/>
        </w:rPr>
        <w:t>Test Setup Sample</w:t>
      </w:r>
      <w:r>
        <w:t>. TSU-001 issue 1 rev 0. 30/01/2020</w:t>
      </w:r>
    </w:p>
    <w:p>
      <w:pPr>
        <w:pStyle w:val="Heading2"/>
      </w:pPr>
      <w:r>
        <w:t>Sample design 1</w:t>
      </w:r>
    </w:p>
    <w:p>
      <w:pPr>
        <w:pStyle w:val="Heading3"/>
      </w:pPr>
      <w:r>
        <w:t>General</w:t>
      </w:r>
    </w:p>
    <w:p>
      <w:pPr>
        <w:pStyle w:val="Heading3"/>
      </w:pPr>
      <w:r>
        <w:t>Features to be Tested</w:t>
      </w:r>
    </w:p>
    <w:p>
      <w:pPr>
        <w:pStyle w:val="Heading3"/>
      </w:pPr>
      <w:r>
        <w:t>Approach Refinements</w:t>
      </w:r>
    </w:p>
    <w:p>
      <w:pPr>
        <w:pStyle w:val="Heading1"/>
      </w:pPr>
      <w:r>
        <w:t>Test Cases</w:t>
      </w:r>
    </w:p>
    <w:p>
      <w:pPr>
        <w:pStyle w:val="Heading2"/>
      </w:pPr>
      <w:r>
        <w:t>General</w:t>
      </w:r>
    </w:p>
    <w:p>
      <w:pPr>
        <w:pStyle w:val="Heading2"/>
      </w:pPr>
      <w:r>
        <w:t>Sample case 1</w:t>
      </w:r>
    </w:p>
    <w:p>
      <w:r>
        <w:rPr>
          <w:b/>
        </w:rPr>
        <w:t>Validating Items</w:t>
      </w:r>
    </w:p>
    <w:p>
      <w:r>
        <w:t>SSS-ICUSW-GE-010</w:t>
      </w:r>
    </w:p>
    <w:p>
      <w:pPr>
        <w:pStyle w:val="Heading1"/>
      </w:pPr>
      <w:r>
        <w:t>Test Procedures</w:t>
      </w:r>
    </w:p>
    <w:p>
      <w:pPr>
        <w:pStyle w:val="Heading2"/>
      </w:pPr>
      <w:r>
        <w:t>General</w:t>
      </w:r>
    </w:p>
    <w:p>
      <w:pPr>
        <w:pStyle w:val="Heading2"/>
      </w:pPr>
      <w:r>
        <w:t>Sample Procedure 1</w:t>
      </w:r>
    </w:p>
    <w:p>
      <w:r>
        <w:rPr>
          <w:b/>
        </w:rPr>
        <w:t>Scenario</w:t>
      </w:r>
    </w:p>
    <w:p>
      <w:r>
        <w:t>Dummy Scenario 1</w:t>
      </w:r>
    </w:p>
    <w:p>
      <w:r>
        <w:rPr>
          <w:b/>
        </w:rPr>
        <w:t>Test Cases</w:t>
      </w:r>
    </w:p>
    <w:p>
      <w:r>
        <w:t>Sample case 1</w:t>
      </w:r>
    </w:p>
    <w:p>
      <w:pPr>
        <w:pStyle w:val="Heading3"/>
      </w:pPr>
      <w:r>
        <w:t>Procedure Steps</w:t>
      </w:r>
    </w:p>
    <w:p>
      <w:pPr>
        <w:ind w:left="709"/>
      </w:pPr>
      <w:r>
        <w:rPr>
          <w:b/>
        </w:rPr>
        <w:t>Step 0: Sample Test connection 0</w:t>
      </w:r>
    </w:p>
    <w:p>
      <w:pPr>
        <w:ind w:left="709"/>
      </w:pPr>
      <w:r>
        <w:t xml:space="preserve">Packet configurations </w:t>
      </w:r>
    </w:p>
    <w:p>
      <w:pPr>
        <w:pStyle w:val="ListParagraph"/>
        <w:numPr>
          <w:ilvl w:val="0"/>
          <w:numId w:val="1"/>
        </w:numPr>
        <w:ind w:left="1418"/>
      </w:pPr>
      <w:r>
        <w:t>DummyConf 0</w:t>
      </w:r>
      <w:r>
        <w:t xml:space="preserve">. Filter Status: </w:t>
      </w:r>
      <w:r>
        <w:rPr>
          <w:i/>
        </w:rPr>
        <w:t>off</w:t>
      </w:r>
    </w:p>
    <w:p>
      <w:pPr>
        <w:ind w:left="709"/>
      </w:pPr>
      <w:r>
        <w:t xml:space="preserve">Send </w:t>
      </w:r>
    </w:p>
    <w:p>
      <w:pPr>
        <w:pStyle w:val="ListParagraph"/>
        <w:numPr>
          <w:ilvl w:val="0"/>
          <w:numId w:val="2"/>
        </w:numPr>
        <w:ind w:left="1418"/>
      </w:pPr>
      <w:r>
        <w:t>TC(17.1) Test connection via Dummy IF A after 120 miliseconds</w:t>
      </w:r>
    </w:p>
    <w:p>
      <w:pPr>
        <w:ind w:left="709"/>
      </w:pPr>
      <w:r>
        <w:t xml:space="preserve">Receive all within 500 miliseconds </w:t>
      </w:r>
    </w:p>
    <w:p>
      <w:pPr>
        <w:pStyle w:val="ListParagraph"/>
        <w:numPr>
          <w:ilvl w:val="0"/>
          <w:numId w:val="3"/>
        </w:numPr>
        <w:ind w:left="1418"/>
      </w:pPr>
      <w:r>
        <w:t>TM(1.1) TM (1_1) via Dummy IF A</w:t>
      </w:r>
    </w:p>
    <w:p>
      <w:pPr>
        <w:pStyle w:val="ListParagraph"/>
        <w:numPr>
          <w:ilvl w:val="0"/>
          <w:numId w:val="3"/>
        </w:numPr>
        <w:ind w:left="1418"/>
      </w:pPr>
      <w:r>
        <w:t>TM(17.2) Test Connection Report TM(17_2) via Dummy IF A</w:t>
      </w:r>
    </w:p>
    <w:p>
      <w:pPr>
        <w:pStyle w:val="ListParagraph"/>
        <w:numPr>
          <w:ilvl w:val="0"/>
          <w:numId w:val="3"/>
        </w:numPr>
        <w:ind w:left="1418"/>
      </w:pPr>
      <w:r>
        <w:t>TM(1.7) TM (1_7) 1 via Dummy IF A</w:t>
      </w:r>
    </w:p>
    <w:p>
      <w:pPr>
        <w:pStyle w:val="ListParagraph"/>
        <w:numPr>
          <w:ilvl w:val="0"/>
          <w:numId w:val="3"/>
        </w:numPr>
        <w:ind w:left="1418"/>
      </w:pPr>
      <w:r>
        <w:t>TM(5.1) Event Safe Mode entry via Dummy IF A</w:t>
      </w:r>
    </w:p>
    <w:p>
      <w:pPr>
        <w:pStyle w:val="ListParagraph"/>
        <w:numPr>
          <w:ilvl w:val="1"/>
          <w:numId w:val="3"/>
        </w:numPr>
        <w:ind w:left="2127"/>
      </w:pPr>
      <w:r>
        <w:t>RID_5_1: 4100</w:t>
      </w:r>
    </w:p>
    <w:p>
      <w:pPr>
        <w:pStyle w:val="ListParagraph"/>
        <w:numPr>
          <w:ilvl w:val="1"/>
          <w:numId w:val="3"/>
        </w:numPr>
        <w:ind w:left="2127"/>
      </w:pPr>
      <w:r>
        <w:t>Target Mode: SAFE (1)</w:t>
      </w:r>
    </w:p>
    <w:p>
      <w:pPr>
        <w:pStyle w:val="ListParagraph"/>
        <w:numPr>
          <w:ilvl w:val="0"/>
          <w:numId w:val="3"/>
        </w:numPr>
        <w:ind w:left="1418"/>
      </w:pPr>
      <w:r>
        <w:t>TM(5.1) Event Safe Mode entry no fields via Dummy IF A</w:t>
      </w:r>
    </w:p>
    <w:p>
      <w:pPr>
        <w:pStyle w:val="ListParagraph"/>
        <w:numPr>
          <w:ilvl w:val="1"/>
          <w:numId w:val="3"/>
        </w:numPr>
        <w:ind w:left="2127"/>
      </w:pPr>
      <w:r>
        <w:t>RID_5_1: 4100</w:t>
      </w:r>
    </w:p>
    <w:p>
      <w:pPr>
        <w:pStyle w:val="ListParagraph"/>
        <w:numPr>
          <w:ilvl w:val="1"/>
          <w:numId w:val="3"/>
        </w:numPr>
        <w:ind w:left="2127"/>
      </w:pPr>
      <w:r>
        <w:t>Target Mode: OPERATIONAL (3)</w:t>
      </w:r>
    </w:p>
    <w:p>
      <w:pPr>
        <w:ind w:left="709"/>
      </w:pPr>
      <w:r>
        <w:rPr>
          <w:b/>
        </w:rPr>
        <w:t>Step 1: Sample Test Connection 1</w:t>
      </w:r>
    </w:p>
    <w:p>
      <w:pPr>
        <w:ind w:left="709"/>
      </w:pPr>
      <w:r>
        <w:t xml:space="preserve">Send </w:t>
      </w:r>
    </w:p>
    <w:p>
      <w:pPr>
        <w:pStyle w:val="ListParagraph"/>
        <w:numPr>
          <w:ilvl w:val="0"/>
          <w:numId w:val="4"/>
        </w:numPr>
        <w:ind w:left="1418"/>
      </w:pPr>
      <w:r>
        <w:t>TC(17.1) Test connection via Dummy IF B after 120 miliseconds</w:t>
      </w:r>
    </w:p>
    <w:p>
      <w:pPr>
        <w:pStyle w:val="Heading2"/>
      </w:pPr>
      <w:r>
        <w:t>Sample Procedure 2</w:t>
      </w:r>
    </w:p>
    <w:p>
      <w:r>
        <w:rPr>
          <w:b/>
        </w:rPr>
        <w:t>Scenario</w:t>
      </w:r>
    </w:p>
    <w:p>
      <w:r>
        <w:t>Dummy Scenario 2</w:t>
      </w:r>
    </w:p>
    <w:p>
      <w:r>
        <w:rPr>
          <w:b/>
        </w:rPr>
        <w:t>Test Cases</w:t>
      </w:r>
    </w:p>
    <w:p>
      <w:r>
        <w:t>Sample case 1</w:t>
      </w:r>
    </w:p>
    <w:p>
      <w:pPr>
        <w:pStyle w:val="Heading3"/>
      </w:pPr>
      <w:r>
        <w:t>Procedure Steps</w:t>
      </w:r>
    </w:p>
    <w:p>
      <w:pPr>
        <w:ind w:left="709"/>
      </w:pPr>
      <w:r>
        <w:rPr>
          <w:b/>
        </w:rPr>
        <w:t>Step 0: Sample Test Connection 2</w:t>
      </w:r>
    </w:p>
    <w:p>
      <w:pPr>
        <w:ind w:left="709"/>
      </w:pPr>
      <w:r>
        <w:t xml:space="preserve">Send </w:t>
      </w:r>
    </w:p>
    <w:p>
      <w:pPr>
        <w:pStyle w:val="ListParagraph"/>
        <w:numPr>
          <w:ilvl w:val="0"/>
          <w:numId w:val="5"/>
        </w:numPr>
        <w:ind w:left="1418"/>
      </w:pPr>
      <w:r>
        <w:t>TC(17.1) Test connection via Dummy IF C after 120 miliseconds</w:t>
      </w:r>
    </w:p>
    <w:p>
      <w:pPr>
        <w:ind w:left="709"/>
      </w:pPr>
      <w:r>
        <w:t xml:space="preserve">Receive all within 500 miliseconds </w:t>
      </w:r>
    </w:p>
    <w:p>
      <w:pPr>
        <w:pStyle w:val="ListParagraph"/>
        <w:numPr>
          <w:ilvl w:val="0"/>
          <w:numId w:val="6"/>
        </w:numPr>
        <w:ind w:left="1418"/>
      </w:pPr>
      <w:r>
        <w:t>TM(1.1) TM (1_1) 2 via Dummy IF C</w:t>
      </w:r>
    </w:p>
    <w:p>
      <w:pPr>
        <w:pStyle w:val="ListParagraph"/>
        <w:numPr>
          <w:ilvl w:val="0"/>
          <w:numId w:val="6"/>
        </w:numPr>
        <w:ind w:left="1418"/>
      </w:pPr>
      <w:r>
        <w:t>TM(17.2) Test Connection Report TM (17_2) 2 via Dummy IF C</w:t>
      </w:r>
    </w:p>
    <w:p>
      <w:pPr>
        <w:pStyle w:val="ListParagraph"/>
        <w:numPr>
          <w:ilvl w:val="0"/>
          <w:numId w:val="6"/>
        </w:numPr>
        <w:ind w:left="1418"/>
      </w:pPr>
      <w:r>
        <w:t>TM(1.7) TM (1_7) 2 via Dummy IF C</w:t>
      </w:r>
    </w:p>
    <w:p>
      <w:pPr>
        <w:ind w:left="709"/>
      </w:pPr>
      <w:r>
        <w:rPr>
          <w:b/>
        </w:rPr>
        <w:t>Step 1: Sample Test Connection 3</w:t>
      </w:r>
    </w:p>
    <w:p>
      <w:pPr>
        <w:ind w:left="709"/>
      </w:pPr>
      <w:r>
        <w:t xml:space="preserve">Packet configurations </w:t>
      </w:r>
    </w:p>
    <w:p>
      <w:pPr>
        <w:pStyle w:val="ListParagraph"/>
        <w:numPr>
          <w:ilvl w:val="0"/>
          <w:numId w:val="7"/>
        </w:numPr>
        <w:ind w:left="1418"/>
      </w:pPr>
      <w:r>
        <w:t>DummyConf 1</w:t>
      </w:r>
      <w:r>
        <w:t xml:space="preserve">. Filter Status: </w:t>
      </w:r>
      <w:r>
        <w:rPr>
          <w:i/>
        </w:rPr>
        <w:t>off</w:t>
      </w:r>
    </w:p>
    <w:p>
      <w:pPr>
        <w:ind w:left="709"/>
      </w:pPr>
      <w:r>
        <w:t xml:space="preserve">Send </w:t>
      </w:r>
    </w:p>
    <w:p>
      <w:pPr>
        <w:pStyle w:val="ListParagraph"/>
        <w:numPr>
          <w:ilvl w:val="0"/>
          <w:numId w:val="8"/>
        </w:numPr>
        <w:ind w:left="1418"/>
      </w:pPr>
      <w:r>
        <w:t>TC(17.1) Test connection via Dummy IF C after 120 miliseconds</w:t>
      </w:r>
    </w:p>
    <w:p>
      <w:pPr>
        <w:pStyle w:val="Heading1"/>
      </w:pPr>
      <w:r>
        <w:t>Analysis, Inspection and Review</w:t>
      </w:r>
    </w:p>
    <w:p>
      <w:pPr>
        <w:pStyle w:val="Heading1"/>
      </w:pPr>
      <w:r>
        <w:t>Test Platform Requirements</w:t>
      </w:r>
    </w:p>
    <w:p>
      <w:pPr>
        <w:pStyle w:val="Heading1"/>
      </w:pPr>
      <w:r>
        <w:t>Additional Information</w:t>
      </w:r>
    </w:p>
    <w:p>
      <w:pPr>
        <w:pStyle w:val="Heading2"/>
      </w:pPr>
      <w:r>
        <w:t>Traceability Matrices</w:t>
      </w:r>
    </w:p>
    <w:p>
      <w:pPr>
        <w:pStyle w:val="Heading3"/>
      </w:pPr>
      <w:r>
        <w:t>Direct Traceability Matrix</w:t>
      </w:r>
    </w:p>
    <w:tbl>
      <w:tblPr>
        <w:tblW w:w="5000" w:type="pct"/>
        <w:tblStyle w:val="TableGridFirstRowShadow"/>
      </w:tblPr>
      <w:tr>
        <w:tc>
          <w:tcPr>
            <w:tcW w:w="2950" w:type="pct"/>
          </w:tcPr>
          <w:p>
            <w:r>
              <w:rPr>
                <w:b/>
              </w:rPr>
              <w:t>SVS Test Case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SRS document</w:t>
            </w:r>
          </w:p>
        </w:tc>
        <w:tc>
          <w:tcPr>
            <w:tcW w:w="750" w:type="pct"/>
          </w:tcPr>
          <w:p>
            <w:r>
              <w:rPr>
                <w:b/>
              </w:rPr>
              <w:t>SRS Item</w:t>
            </w:r>
          </w:p>
        </w:tc>
      </w:tr>
      <w:tr>
        <w:tc>
          <w:tcPr>
					</w:tcPr>
          <w:p>
            <w:r>
              <w:t>Sample case 1</w:t>
            </w:r>
          </w:p>
        </w:tc>
        <w:tc>
          <w:tcPr>
					</w:tcPr>
          <w:p>
            <w:r>
              <w:t>SRG-EPD-SSS-001</w:t>
            </w:r>
          </w:p>
        </w:tc>
        <w:tc>
          <w:tcPr>
					</w:tcPr>
          <w:p>
            <w:r>
              <w:t>SSS-ICUSW-GE-010</w:t>
            </w:r>
          </w:p>
        </w:tc>
      </w:tr>
    </w:tbl>
    <w:p>
      <w:pPr>
        <w:pStyle w:val="Heading3"/>
      </w:pPr>
      <w:r>
        <w:t>Inverse Traceability Matrix</w:t>
      </w:r>
    </w:p>
    <w:tbl>
      <w:tblPr>
        <w:tblW w:w="5000" w:type="pct"/>
        <w:tblStyle w:val="TableGridFirstRowShadow"/>
      </w:tblPr>
      <w:tr>
        <w:tc>
          <w:tcPr>
            <w:tcW w:w="750" w:type="pct"/>
          </w:tcPr>
          <w:p>
            <w:r>
              <w:rPr>
                <w:b/>
              </w:rPr>
              <w:t>SRS Item</w:t>
            </w:r>
          </w:p>
        </w:tc>
        <w:tc>
          <w:tcPr>
            <w:tcW w:w="1300" w:type="pct"/>
          </w:tcPr>
          <w:p>
            <w:r>
              <w:rPr>
                <w:b/>
              </w:rPr>
              <w:t>SRS document</w:t>
            </w:r>
          </w:p>
        </w:tc>
        <w:tc>
          <w:tcPr>
            <w:tcW w:w="2950" w:type="pct"/>
          </w:tcPr>
          <w:p>
            <w:r>
              <w:rPr>
                <w:b/>
              </w:rPr>
              <w:t>SVS Test Case</w:t>
            </w:r>
          </w:p>
        </w:tc>
      </w:tr>
      <w:tr>
        <w:tc>
          <w:tcPr>
					</w:tcPr>
          <w:p>
            <w:r>
              <w:t>SSS-ICUSW-GE-010</w:t>
            </w:r>
          </w:p>
        </w:tc>
        <w:tc>
          <w:tcPr>
					</w:tcPr>
          <w:p>
            <w:r>
              <w:t>SRG-EPD-SSS-001</w:t>
            </w:r>
          </w:p>
        </w:tc>
        <w:tc>
          <w:tcPr>
					</w:tcPr>
          <w:p>
            <w:r>
              <w:t>Sample case 1</w:t>
            </w:r>
          </w:p>
        </w:tc>
      </w:tr>
    </w:tbl>
    <w:p>
      <w:r>
        <w:rPr>
          <w:b/>
        </w:rPr>
        <w:t>Items Not Found</w:t>
      </w:r>
    </w:p>
    <w:tbl>
      <w:tblPr>
        <w:tblW w:w="5000" w:type="pct"/>
        <w:tblStyle w:val="TableGridFirstRowShadow"/>
      </w:tblPr>
      <w:tr>
        <w:tc>
          <w:tcPr>
            <w:tcW w:w="2500" w:type="pct"/>
          </w:tcPr>
          <w:p>
            <w:r>
              <w:rPr>
                <w:b/>
              </w:rPr>
              <w:t>SRS Item</w:t>
            </w:r>
          </w:p>
        </w:tc>
        <w:tc>
          <w:tcPr>
					</w:tcPr>
          <w:p>
            <w:r>
              <w:rPr>
                <w:b/>
              </w:rPr>
              <w:t>SRS document</w:t>
            </w:r>
          </w:p>
        </w:tc>
      </w:tr>
      <w:tr>
        <w:tc>
          <w:tcPr>
            <w:tcW w:w="2500" w:type="pct"/>
          </w:tcPr>
          <w:p>
            <w:r>
              <w:t>SSS-ICUSW-CA-010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SSS-ICUSW-IF-010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SSS-ICUSW-VV-010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SSS-ICUSW-VA-010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SSS-ICUSW-VA-020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SSS-ICUSW-VA-030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SSS-ICUSW-VA-040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SSS-ICUSW-VA-050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SSS-ICUSW-VR-010</w:t>
            </w:r>
          </w:p>
        </w:tc>
        <w:tc>
          <w:tcPr>
					</w:tcPr>
          <w:p>
            <w:r>
              <w:t>SRG-EPD-SSS-001</w:t>
            </w:r>
          </w:p>
        </w:tc>
      </w:tr>
      <w:tr>
        <w:tc>
          <w:tcPr>
            <w:tcW w:w="2500" w:type="pct"/>
          </w:tcPr>
          <w:p>
            <w:r>
              <w:t>SSS-ICUSW-VE-010</w:t>
            </w:r>
          </w:p>
        </w:tc>
        <w:tc>
          <w:tcPr>
					</w:tcPr>
          <w:p>
            <w:r>
              <w:t>SRG-EPD-SSS-001</w:t>
            </w:r>
          </w:p>
        </w:tc>
      </w:tr>
    </w:tbl>
  </w:body>
</w:document>
</file>

<file path=word\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>
  <w:font w:name="Calibri"/>
</w:fonts>
</file>

<file path=word\numbering.xml><?xml version="1.0" encoding="utf-8"?>
<w:numbering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abstractNum w:abstractNumId="0"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decimal"/>
      <w:lvlText w:val="%1.%2."/>
      <w:lvlJc w:val="left"/>
      <w:pPr>
        <w:ind w:left="1440" w:hanging="360"/>
      </w:pPr>
    </w:lvl>
    <w:lvl w:ilvl="2" w:tentative="1">
      <w:start w:val="1"/>
      <w:numFmt w:val="decimal"/>
      <w:lvlText w:val="%1.%2.%3."/>
      <w:lvlJc w:val="right"/>
      <w:pPr>
        <w:ind w:left="2160" w:hanging="180"/>
      </w:pPr>
    </w:lvl>
    <w:lvl w:ilvl="3" w:tentative="1">
      <w:start w:val="1"/>
      <w:numFmt w:val="decimal"/>
      <w:lvlText w:val="%1.%2.%3.%4."/>
      <w:lvlJc w:val="left"/>
      <w:pPr>
        <w:ind w:left="2880" w:hanging="360"/>
      </w:pPr>
    </w:lvl>
    <w:lvl w:ilvl="4" w:tentative="1">
      <w:start w:val="1"/>
      <w:numFmt w:val="decimal"/>
      <w:lvlText w:val="%1.%2.%3.%4.%5."/>
      <w:lvlJc w:val="left"/>
      <w:pPr>
        <w:ind w:left="3600" w:hanging="360"/>
      </w:pPr>
    </w:lvl>
    <w:lvl w:ilvl="5" w:tentative="1">
      <w:start w:val="1"/>
      <w:numFmt w:val="decimal"/>
      <w:lvlText w:val="%1.%2.%3.%4.%5.%6."/>
      <w:lvlJc w:val="right"/>
      <w:pPr>
        <w:ind w:left="4320" w:hanging="180"/>
      </w:pPr>
    </w:lvl>
    <w:lvl w:ilvl="6" w:tentative="1">
      <w:start w:val="1"/>
      <w:numFmt w:val="decimal"/>
      <w:lvlText w:val="%1.%2.%3.%4.%5.%6.%7."/>
      <w:lvlJc w:val="left"/>
      <w:pPr>
        <w:ind w:left="5040" w:hanging="360"/>
      </w:pPr>
    </w:lvl>
    <w:lvl w:ilvl="7" w:tentative="1">
      <w:start w:val="1"/>
      <w:numFmt w:val="decimal"/>
      <w:lvlText w:val="%1.%2.%3.%4.%5.%6.%7.%8."/>
      <w:lvlJc w:val="left"/>
      <w:pPr>
        <w:ind w:left="5760" w:hanging="360"/>
      </w:pPr>
    </w:lvl>
    <w:lvl w:ilvl="8" w:tentative="1">
      <w:start w:val="1"/>
      <w:numFmt w:val="decimal"/>
      <w:lvlText w:val="%1.%2.%3.%4.%5.%6.%7.%8.%9."/>
      <w:lvlJc w:val="right"/>
      <w:pPr>
        <w:ind w:left="6480" w:hanging="180"/>
      </w:pPr>
    </w:lvl>
  </w:abstractNum>
  <w:abstractNum w:abstractNumId="1">
    <w:multiLevelType w:val="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</w:numbering>
</file>

<file path=word\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defaultTabStop w:val="720"/>
  <w:hyphenationZone w:val="425"/>
  <w:characterSpacingControl w:val="doNotCompress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\styles.xml><?xml version="1.0" encoding="utf-8"?>
<w:styles xmlns:mc="http://schemas.openxmlformats.org/markup-compatibility/2006" xmlns:r="http://schemas.openxmlformats.org/officeDocument/2006/relationships" xmlns:w="http://schemas.openxmlformats.org/wordprocessingml/2006/main">
  <w:docDefaults>
    <w:rPrDefault>
      <w:rPr>
        <w:rFonts w:asciiTheme="majorHAnsi" w:eastAsiaTheme="majorHAnsi" w:hAnsiTheme="majorHAnsi" w:cstheme="minorBidi"/>
        <w:sz w:val="22"/>
        <w:szCs w:val="22"/>
        <w:lang w:val="en"/>
      </w:rPr>
    </w:rPrDefault>
    <w:pPrDefault>
      <w:pPr>
        <w:spacing w:before="0" w:after="40"/>
      </w:pPr>
    </w:pPrDefault>
  </w:docDefaults>
  <w:style w:type="paragraph" w:default="1" w:styleId="Normal">
    <w:name w:val="Normal"/>
    <w:qFormat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40" w:after="0"/>
      <w:outlineLvl w:val="1"/>
    </w:pPr>
    <w:rPr>
      <w:color w:val="2F5496" w:themeColor="accent1" w:themeShade="BF"/>
      <w:sz w:val="22"/>
      <w:szCs w:val="22"/>
    </w:rPr>
  </w:style>
  <w:style w:type="paragraph" w:styleId="ListParagraph">
    <w:name w:val="List Paragraph"/>
    <w:basedOn w:val="Normal"/>
    <w:pPr>
      <w:ind w:left="720"/>
      <w:contextualSpacing/>
    </w:pPr>
  </w:style>
  <w:style w:type="table" w:styleId="TableGrid">
    <w:name w:val="Table Grid"/>
    <w:basedOn w:val="TableNormal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FirstRowShadow">
    <w:name w:val="Table Grid First Row Shadow"/>
    <w:basedOn w:val="TableGrid"/>
    <w:tblStylePr w:type="firstRow">
      <w:rPr>
        <w:b/>
        <w:bCs/>
      </w:rPr>
      <w:tcPr>
        <w:shd w:val="clear" w:color="auto" w:fill="D8D8D8"/>
      </w:tcPr>
    </w:tblStylePr>
  </w:style>
  <w:style w:type="table" w:styleId="TableGridFirstRowColummShadow">
    <w:name w:val="Table Grid First Row Columm Shadow"/>
    <w:basedOn w:val="TableGridFirstRowShadow"/>
    <w:tblStylePr w:type="firstCol">
      <w:rPr>
        <w:b/>
        <w:bCs/>
      </w:rPr>
      <w:tcPr>
        <w:shd w:val="clear" w:color="auto" w:fill="D8D8D8"/>
      </w:tcPr>
    </w:tblStylePr>
  </w:style>
  <w:style w:type="paragraph" w:styleId="Caption">
    <w:name w:val="caption"/>
    <w:basedOn w:val="Normal"/>
    <w:next w:val="Normal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DRD">
    <w:name w:val="AD + RD"/>
    <w:basedOn w:val="Normal"/>
    <w:pPr>
      <w:ind w:left="700" w:hanging="700"/>
    </w:pPr>
  </w:style>
  <w:style w:type="paragraph" w:styleId="TDA">
    <w:name w:val="TermsDefinitionsAbbreviations"/>
    <w:basedOn w:val="Normal"/>
    <w:pPr>
      <w:ind w:left="1000" w:hanging="1000"/>
    </w:pPr>
  </w:style>
</w:styles>
</file>

<file path=word\theme\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