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 xml:space="preserve">The </w:t>
      </w:r>
      <w:r>
        <w:rPr>
          <w:b/>
        </w:rPr>
        <w:t>purpose</w:t>
      </w:r>
      <w:r>
        <w:t xml:space="preserve"> of this </w:t>
      </w:r>
      <w:r>
        <w:rPr>
          <w:u w:val="single"/>
        </w:rPr>
        <w:t>document</w:t>
      </w:r>
      <w:r>
        <w:t xml:space="preserve"> is...</w:t>
      </w:r>
    </w:p>
    <w:p>
      <w:pPr>
        <w:pStyle w:val="Heading2"/>
      </w:pPr>
      <w:r>
        <w:t>Content</w:t>
      </w:r>
    </w:p>
    <w:p>
      <w:r>
        <w:t xml:space="preserve">The </w:t>
      </w:r>
      <w:r>
        <w:rPr>
          <w:i/>
        </w:rPr>
        <w:t>content</w:t>
      </w:r>
      <w:r>
        <w:t xml:space="preserve"> of this </w:t>
      </w:r>
      <w:r>
        <w:rPr>
          <w:b/>
          <w:i/>
          <w:u w:val="single"/>
        </w:rPr>
        <w:t>document</w:t>
      </w:r>
      <w:r>
        <w:t xml:space="preserve"> is...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bookmarkEnd w:id="0"/>
      <w:r>
        <w:tab/>
      </w:r>
      <w:r>
        <w:t>EID-A: Solar Orbiter Experiment Interface Document, Part A. SOL-EST-RCD-0050 issue 5 rev 0</w:t>
      </w:r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bookmarkEnd w:id="1"/>
      <w:r>
        <w:tab/>
      </w:r>
      <w:r>
        <w:t>CCSDS Packet Telemetry. CCSDS 102.0-B-5. Blue Book. SO-EPD-PO-IF-0001. 11/2000</w:t>
      </w:r>
    </w:p>
    <w:p>
      <w:pPr>
        <w:pStyle w:val="Heading1"/>
      </w:pPr>
      <w:r>
        <w:t>Terms, Definitions &amp; Abbreviations</w:t>
      </w:r>
    </w:p>
    <w:p>
      <w:pPr>
        <w:pStyle w:val="TDA"/>
      </w:pPr>
      <w:r>
        <w:t>EPD</w:t>
      </w:r>
      <w:r>
        <w:tab/>
      </w:r>
      <w:r>
        <w:t>Energetic Particle Detector</w:t>
      </w:r>
    </w:p>
    <w:p>
      <w:pPr>
        <w:pStyle w:val="Heading1"/>
      </w:pPr>
      <w:r>
        <w:t>General Description</w:t>
      </w:r>
    </w:p>
    <w:p>
      <w:pPr>
        <w:pStyle w:val="Heading2"/>
      </w:pPr>
      <w:r>
        <w:t>Product Perspective</w:t>
      </w:r>
    </w:p>
    <w:p>
      <w:bookmarkStart w:id="2" w:name="Fig1"/>
      <w:r>
        <w:drawing>
          <wp:inline distT="0" distB="0" distL="0" distR="0">
            <wp:extent cx="2402006" cy="1453408"/>
            <wp:docPr id="1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_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243" cy="1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V-Model</w:t>
      </w:r>
    </w:p>
    <w:p>
      <w:pPr>
        <w:pStyle w:val="Heading2"/>
      </w:pPr>
      <w:r>
        <w:t>General Capabilities</w:t>
      </w:r>
    </w:p>
    <w:p>
      <w:r>
        <w:t xml:space="preserve">As noted in </w:t>
      </w:r>
      <w:hyperlink w:anchor="AD1">
        <w:r>
          <w:t>EID-A</w:t>
        </w:r>
      </w:hyperlink>
      <w:r>
        <w:t xml:space="preserve"> and shown in </w:t>
      </w:r>
      <w:hyperlink w:anchor="Fig1">
        <w:r>
          <w:t>previous image</w:t>
        </w:r>
      </w:hyperlink>
    </w:p>
    <w:p>
      <w:pPr>
        <w:pStyle w:val="Heading2"/>
      </w:pPr>
      <w:r>
        <w:t>General Constraints</w:t>
      </w:r>
    </w:p>
    <w:p>
      <w:pPr>
        <w:pStyle w:val="ListParagraph"/>
        <w:numPr>
          <w:ilvl w:val="0"/>
          <w:numId w:val="1"/>
        </w:numPr>
      </w:pPr>
      <w:r>
        <w:t>Enum item 1</w:t>
      </w:r>
    </w:p>
    <w:p>
      <w:pPr>
        <w:pStyle w:val="ListParagraph"/>
        <w:numPr>
          <w:ilvl w:val="1"/>
          <w:numId w:val="1"/>
        </w:numPr>
      </w:pPr>
      <w:r>
        <w:t>Enum item 1.1</w:t>
      </w:r>
    </w:p>
    <w:p>
      <w:pPr>
        <w:pStyle w:val="ListParagraph"/>
        <w:numPr>
          <w:ilvl w:val="0"/>
          <w:numId w:val="1"/>
        </w:numPr>
      </w:pPr>
      <w:r>
        <w:t>Enum item 2</w:t>
      </w:r>
    </w:p>
    <w:p>
      <w:pPr>
        <w:pStyle w:val="Heading2"/>
      </w:pPr>
      <w:r>
        <w:t>Operational Environment</w:t>
      </w:r>
    </w:p>
    <w:p>
      <w:pPr>
        <w:pStyle w:val="ListParagraph"/>
        <w:numPr>
          <w:ilvl w:val="0"/>
          <w:numId w:val="2"/>
        </w:numPr>
      </w:pPr>
      <w:r>
        <w:t>Bullet item 1</w:t>
      </w:r>
    </w:p>
    <w:p>
      <w:pPr>
        <w:pStyle w:val="ListParagraph"/>
        <w:numPr>
          <w:ilvl w:val="0"/>
          <w:numId w:val="2"/>
        </w:numPr>
      </w:pPr>
      <w:r>
        <w:t>Bullet item 2</w:t>
      </w:r>
    </w:p>
    <w:p>
      <w:pPr>
        <w:pStyle w:val="Heading2"/>
      </w:pPr>
      <w:r>
        <w:t>Assumptions &amp; Dependencies</w:t>
      </w:r>
    </w:p>
    <w:tbl>
      <w:bookmarkStart w:id="3" w:name="Table1"/>
      <w:tblPr>
        <w:tblStyle w:val="TableGrid"/>
        <w:tblW w:w="0" w:type="auto"/>
      </w:tblPr>
      <w:tr>
        <w:tc>
          <w:tcPr>
            <w:tcW w:w="2833" w:type="dxa"/>
          </w:tcPr>
          <w:p>
            <w:r>
              <w:t>Cell 1.1</w:t>
            </w:r>
          </w:p>
        </w:tc>
        <w:tc>
          <w:tcPr>
            <w:tcW w:w="2833" w:type="dxa"/>
          </w:tcPr>
          <w:p>
            <w:r>
              <w:t>Cell 1.2</w:t>
            </w:r>
          </w:p>
        </w:tc>
        <w:tc>
          <w:tcPr>
            <w:tcW w:w="2833" w:type="dxa"/>
          </w:tcPr>
          <w:p>
            <w:r>
              <w:t>Cell 1.3</w:t>
            </w:r>
          </w:p>
        </w:tc>
      </w:tr>
      <w:tr>
        <w:tc>
          <w:tcPr>
            <w:tcW w:w="2833" w:type="dxa"/>
          </w:tcPr>
          <w:p>
            <w:r>
              <w:t>Cell 2.1</w:t>
            </w:r>
          </w:p>
        </w:tc>
        <w:tc>
          <w:tcPr>
            <w:tcW w:w="2833" w:type="dxa"/>
          </w:tcPr>
          <w:p>
            <w:r>
              <w:t>Cell 2.2</w:t>
            </w:r>
          </w:p>
        </w:tc>
        <w:tc>
          <w:tcPr>
            <w:tcW w:w="2833" w:type="dxa"/>
          </w:tcPr>
          <w:p>
            <w:r>
              <w:t>Cell 2.3</w:t>
            </w:r>
          </w:p>
        </w:tc>
      </w:tr>
      <w:bookmarkEnd w:id="3"/>
    </w:tbl>
    <w:p>
      <w:pPr>
        <w:pStyle w:val="Caption"/>
      </w:pPr>
      <w:r>
        <w:t>Table 1: Simple Table</w:t>
      </w:r>
    </w:p>
    <w:tbl>
      <w:tblPr>
        <w:tblStyle w:val="TableGrid"/>
        <w:tblW w:w="0" w:type="auto"/>
      </w:tblPr>
      <w:tr>
        <w:tc>
          <w:tcPr>
            <w:tcW w:w="1061" w:type="dxa"/>
            <w:vMerge w:val="restart"/>
          </w:tcPr>
          <w:p>
            <w:r>
              <w:t>1-2; 1</w:t>
            </w:r>
          </w:p>
        </w:tc>
        <w:tc>
          <w:tcPr>
            <w:tcW w:w="2123" w:type="dxa"/>
            <w:gridSpan w:val="2"/>
          </w:tcPr>
          <w:p>
            <w:r>
              <w:t>1; 2-3</w:t>
            </w:r>
          </w:p>
        </w:tc>
        <w:tc>
          <w:tcPr>
            <w:tcW w:w="2124" w:type="dxa"/>
            <w:gridSpan w:val="2"/>
            <w:vMerge w:val="restart"/>
          </w:tcPr>
          <w:p>
            <w:r>
              <w:t>1-2; 4-5</w:t>
            </w:r>
          </w:p>
        </w:tc>
        <w:tc>
          <w:tcPr>
            <w:tcW w:w="1062" w:type="dxa"/>
          </w:tcPr>
          <w:p>
            <w:r>
              <w:t>1; 6</w:t>
            </w:r>
          </w:p>
        </w:tc>
        <w:tc>
          <w:tcPr>
            <w:tcW w:w="1062" w:type="dxa"/>
          </w:tcPr>
          <w:p>
            <w:r>
              <w:t>1; 7</w:t>
            </w:r>
          </w:p>
        </w:tc>
        <w:tc>
          <w:tcPr>
            <w:tcW w:w="1062" w:type="dxa"/>
          </w:tcPr>
          <w:p>
            <w:r>
              <w:t>1; 8</w:t>
            </w:r>
          </w:p>
        </w:tc>
      </w:tr>
      <w:tr>
        <w:tc>
          <w:tcPr>
            <w:tcW w:w="1061" w:type="dxa"/>
            <w:vMerge w:val="continue"/>
          </w:tcPr>
          <w:p>
            <!-- 2; 1 -->
          </w:p>
        </w:tc>
        <w:tc>
          <w:tcPr>
            <w:tcW w:w="1061" w:type="dxa"/>
          </w:tcPr>
          <w:p>
            <w:r>
              <w:t>2; 2</w:t>
            </w:r>
          </w:p>
        </w:tc>
        <w:tc>
          <w:tcPr>
            <w:tcW w:w="1062" w:type="dxa"/>
          </w:tcPr>
          <w:p>
            <w:r>
              <w:t>2; 3</w:t>
            </w:r>
          </w:p>
        </w:tc>
        <w:tc>
          <w:tcPr>
            <w:tcW w:w="2124" w:type="dxa"/>
            <w:gridSpan w:val="2"/>
            <w:vMerge w:val="continue"/>
          </w:tcPr>
          <w:p>
            <!-- 2; 4-5 -->
          </w:p>
        </w:tc>
        <w:tc>
          <w:tcPr>
            <w:tcW w:w="2124" w:type="dxa"/>
            <w:gridSpan w:val="2"/>
            <w:vMerge w:val="restart"/>
          </w:tcPr>
          <w:p>
            <w:r>
              <w:t>2-3; 6-7</w:t>
            </w:r>
          </w:p>
        </w:tc>
        <w:tc>
          <w:tcPr>
            <w:tcW w:w="1062" w:type="dxa"/>
          </w:tcPr>
          <w:p>
            <w:r>
              <w:t>2; 8</w:t>
            </w:r>
          </w:p>
        </w:tc>
      </w:tr>
      <w:tr>
        <w:tc>
          <w:tcPr>
            <w:tcW w:w="1061" w:type="dxa"/>
          </w:tcPr>
          <w:p>
            <w:r>
              <w:t>3; 1</w:t>
            </w:r>
          </w:p>
        </w:tc>
        <w:tc>
          <w:tcPr>
            <w:tcW w:w="1061" w:type="dxa"/>
          </w:tcPr>
          <w:p>
            <w:r>
              <w:t>3; 2</w:t>
            </w:r>
          </w:p>
        </w:tc>
        <w:tc>
          <w:tcPr>
            <w:tcW w:w="1062" w:type="dxa"/>
          </w:tcPr>
          <w:p>
            <w:r>
              <w:t>3; 3</w:t>
            </w:r>
          </w:p>
        </w:tc>
        <w:tc>
          <w:tcPr>
            <w:tcW w:w="1062" w:type="dxa"/>
          </w:tcPr>
          <w:p>
            <w:r>
              <w:t>3; 4</w:t>
            </w:r>
          </w:p>
        </w:tc>
        <w:tc>
          <w:tcPr>
            <w:tcW w:w="1062" w:type="dxa"/>
          </w:tcPr>
          <w:p>
            <w:r>
              <w:t>3; 5</w:t>
            </w:r>
          </w:p>
        </w:tc>
        <w:tc>
          <w:tcPr>
            <w:tcW w:w="2124" w:type="dxa"/>
            <w:gridSpan w:val="2"/>
            <w:vMerge w:val="continue"/>
          </w:tcPr>
          <w:p>
            <!-- 3; 6-7 -->
          </w:p>
        </w:tc>
        <w:tc>
          <w:tcPr>
            <w:tcW w:w="1062" w:type="dxa"/>
          </w:tcPr>
          <w:p>
            <w:r>
              <w:t>3; 8</w:t>
            </w:r>
          </w:p>
        </w:tc>
      </w:tr>
    </w:tbl>
    <w:p>
      <w:pPr>
        <w:pStyle w:val="Caption"/>
      </w:pPr>
      <w:r>
        <w:t>Table 2: Hard Table</w:t>
      </w:r>
    </w:p>
    <w:p>
      <w:pPr>
        <w:pStyle w:val="Heading1"/>
      </w:pPr>
      <w:r>
        <w:t>Specific Requirements</w:t>
      </w:r>
    </w:p>
    <w:p>
      <w:pPr>
        <w:pStyle w:val="Heading2"/>
      </w:pPr>
      <w:r>
        <w:t>General Requirements</w:t>
      </w:r>
    </w:p>
    <w:tbl>
      <w:tblPr>
        <w:tblStyle w:val="TableGrid"/>
        <w:tblW w:w="5000" w:type="pct"/>
      </w:tblP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D8D8D8"/>
          </w:tcPr>
          <w:p>
            <w:r>
              <w:rPr>
                <w:b/>
              </w:rPr>
              <w:t>SampleItem-001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Description</w:t>
            </w:r>
          </w:p>
        </w:tc>
        <w:tc>
          <w:p>
            <w:r>
              <w:t>Item description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Validation Method</w:t>
            </w:r>
          </w:p>
        </w:tc>
        <w:tc>
          <w:p>
            <w:r>
              <w:t>Analysis</w:t>
            </w:r>
          </w:p>
        </w:tc>
      </w:tr>
    </w:tbl>
    <w:p>
      <w:pPr>
        <w:spacing w:before="0" w:after="120"/>
      </w:pPr>
      <w:r>
        <w:t>Item extended description</w:t>
      </w:r>
    </w:p>
    <w:p>
      <w:pPr>
        <w:pStyle w:val="Heading2"/>
      </w:pPr>
      <w:r>
        <w:t>System, Software and Observability Requirements</w:t>
      </w:r>
    </w:p>
    <w:p>
      <w:pPr>
        <w:pStyle w:val="Heading1"/>
      </w:pPr>
      <w:r>
        <w:t>Verification, Validation and Integration Requirements</w:t>
      </w:r>
    </w:p>
    <w:p>
      <w:pPr>
        <w:pStyle w:val="Heading2"/>
      </w:pPr>
      <w:r>
        <w:t>Verification and Validation Process Requirements</w:t>
      </w:r>
    </w:p>
    <w:p>
      <w:pPr>
        <w:pStyle w:val="Heading2"/>
      </w:pPr>
      <w:r>
        <w:t>Verification Requirements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/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/_rels/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vModel.png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