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>
            <wp:extent cy="2971800" cx="573151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971800" cx="5731510"/>
                    </a:xfrm>
                    <a:prstGeom prst="rect"/>
                  </pic:spPr>
                </pic:pic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971800" cx="573151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Responsável pelo documento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Isaias Silva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Revisado por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Victor Jatobá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Validado por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Victor Jatobá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Resumo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O Plano de Especificação de Teste foi desenvolvido no âmbito de oferecer ao projeto PBL uma ótima qualidade em seu funcionamento e tem como propósito especificar os casos de teste a respeito da aplicação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Índice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(Criar após o término do documento e da revisão, para a validação final já deve estar pronto.)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1</w:t>
        <w:tab/>
        <w:t xml:space="preserve">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703" w:hanging="704"/>
        <w:contextualSpacing w:val="1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Objetivo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03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703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O plano de especificação de casos de Teste do Projeto PBL, tem como objetivo de definir a metodologia de teste a ser seguida durante todo o desenvolvimento do projeto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703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59" w:before="0"/>
        <w:ind w:left="705" w:hanging="704"/>
        <w:contextualSpacing w:val="1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Âmbito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865"/>
        </w:tabs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Este plano de teste é realizado no âmbito do PROJETO PBL, realizado pelos alunos do 8° Semestre da disciplina de Tópicos Avançados em Informática II, do Curso de Sistemas de Informação pela Faculdade Unime – Lauro de Freitas.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865"/>
        </w:tabs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59" w:before="0"/>
        <w:ind w:left="705" w:hanging="704"/>
        <w:contextualSpacing w:val="1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Definições Acrônimos e Abreviaturas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i w:val="1"/>
          <w:sz w:val="24"/>
          <w:rtl w:val="0"/>
        </w:rPr>
        <w:t xml:space="preserve">Framework –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Um framework é uma estrutura de trabalho que permite que outro projeto de software possa ser organizado e desenvolvido.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i w:val="1"/>
          <w:sz w:val="24"/>
          <w:rtl w:val="0"/>
        </w:rPr>
        <w:t xml:space="preserve">Application Programming Interface –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Ou Interface de Programação de Aplicativos. Trata-se de um conjunto de rotinas e padrões disponibilizado por determinado software para a utilização de suas funcionalidades por outros programas.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59" w:before="0"/>
        <w:ind w:left="360" w:hanging="359"/>
        <w:contextualSpacing w:val="1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 </w:t>
        <w:tab/>
        <w:t xml:space="preserve">Especificações do Teste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Os testes a seguir permitem averiguar a qualidade, estabilidade, disponibilidade, interface e funcionamento do Projeto PBL, entre outras funcionalidades.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59" w:before="0"/>
        <w:ind w:left="1068" w:hanging="359"/>
        <w:contextualSpacing w:val="1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 </w:t>
        <w:tab/>
        <w:t xml:space="preserve">Procedimento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Apesar de hoje em dia existirem várias maneiras de testar o software, para este teste em especifico será utilizado o teste de Caixa Preta, que consiste em testar o funcionamento geral do sistema, da base de dados, assim como o resultado esperado deste funcionamento.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Os testes Unitário ou teste de Caixa Preta são testes que podem incidir sobre um método, uma função interna, um programa, um componente e as diversas funcionalidades do Projeto PBL.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Estes testes desconhecem o funcionamento interno do sistema, ou seja não levam em consideração a maneira e a forma de codificação e sim o resultado esperado do código e do funcionamento do sistema, partem do princípio que a partir da entrada de dados (</w:t>
      </w:r>
      <w:r w:rsidRPr="00000000" w:rsidR="00000000" w:rsidDel="00000000">
        <w:rPr>
          <w:rFonts w:cs="Arial" w:hAnsi="Arial" w:eastAsia="Arial" w:ascii="Arial"/>
          <w:i w:val="1"/>
          <w:sz w:val="24"/>
          <w:rtl w:val="0"/>
        </w:rPr>
        <w:t xml:space="preserve">input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) irão ser obtidos determinados resultados, caso o objeto de teste funcione conforme os requisitos especificam. Este tipo de teste estará presente em todas as etapas do processo de teste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59" w:before="0"/>
        <w:ind w:left="1068" w:hanging="359"/>
        <w:contextualSpacing w:val="1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ab/>
        <w:t xml:space="preserve">Critérios de Aceitação e Rejeição de Testes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Uma das formas de buscar a qualidade nos testes é através de uma análise de cobertura de código atingido pelo teste unitário, a cobertura de código é um relatório que diz ao analista de teste quais os trechos de código foram executados por um conjunto de testes.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Os critérios de aceitação e rejeição dos testes será pela quantidade de cobertura do teste, sendo aceito em um valor corresponde entre 91% e 100%. Rejeitando portanto qualquer modulo ou funcionalidade na qual a cobertura e aprovação do teste seja inferior a 90%.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Os critérios de aceitação e rejeição de testes deverá ser analisado para cada interação do ciclo de vida do software, na qual seguirá o padrão descrito na imagem abaixo.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1416" w:firstLine="0"/>
        <w:contextualSpacing w:val="0"/>
        <w:jc w:val="both"/>
      </w:pPr>
      <w:r w:rsidRPr="00000000" w:rsidR="00000000" w:rsidDel="00000000">
        <w:drawing>
          <wp:inline>
            <wp:extent cy="3624451" cx="4817302"/>
            <wp:docPr id="4" name="image03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3624451" cx="4817302"/>
                    </a:xfrm>
                    <a:prstGeom prst="rect"/>
                  </pic:spPr>
                </pic:pic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3624451" cx="4817302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0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60" w:line="259" w:before="0"/>
        <w:ind w:left="1068" w:hanging="359"/>
        <w:contextualSpacing w:val="1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ab/>
        <w:t xml:space="preserve">Requisitos do Ambiente de Teste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2.3.1</w:t>
        <w:tab/>
        <w:t xml:space="preserve">Hardware e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Com hardware e software, o teste tem como necessidades uma máquina com os requisitos recomendados para que possa rodar nas ultimas versões instáveis dos </w:t>
      </w:r>
      <w:r w:rsidRPr="00000000" w:rsidR="00000000" w:rsidDel="00000000">
        <w:rPr>
          <w:rFonts w:cs="Arial" w:hAnsi="Arial" w:eastAsia="Arial" w:ascii="Arial"/>
          <w:i w:val="1"/>
          <w:sz w:val="24"/>
          <w:rtl w:val="0"/>
        </w:rPr>
        <w:t xml:space="preserve">browser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(Internet Explorer - Mozila Firefox, Google Crome)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2.3.2</w:t>
        <w:tab/>
        <w:t xml:space="preserve">Ferramentas de Teste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Existem diversos frameworks que geram a cobertura de código para testes, no Projeto PBL, será usado um plug-in do próprio Grails, chamado </w:t>
      </w:r>
      <w:r w:rsidRPr="00000000" w:rsidR="00000000" w:rsidDel="00000000">
        <w:rPr>
          <w:rFonts w:cs="Arial" w:hAnsi="Arial" w:eastAsia="Arial" w:ascii="Arial"/>
          <w:i w:val="1"/>
          <w:sz w:val="24"/>
          <w:rtl w:val="0"/>
        </w:rPr>
        <w:t xml:space="preserve">coverage,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além das ferramentas de desenvolvimento Netbeans IDE, eclipse IDE e SpringTools Groovy Grails Suite.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05" w:hanging="704"/>
        <w:contextualSpacing w:val="1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Casos de Teste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4"/>
          <w:rtl w:val="0"/>
        </w:rPr>
        <w:t xml:space="preserve">2.1</w:t>
        <w:tab/>
        <w:t xml:space="preserve">Tela de Login</w:t>
      </w:r>
      <w:r w:rsidRPr="00000000" w:rsidR="00000000" w:rsidDel="00000000">
        <w:rPr>
          <w:rtl w:val="0"/>
        </w:rPr>
      </w:r>
    </w:p>
    <w:tbl>
      <w:tblPr>
        <w:bidiVisual w:val="0"/>
        <w:tblW w:w="9468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</w:tblPr>
      <w:tblGrid>
        <w:gridCol w:w="1693"/>
        <w:gridCol w:w="3041"/>
        <w:gridCol w:w="1693"/>
        <w:gridCol w:w="3041"/>
        <w:gridCol w:w="-110"/>
        <w:gridCol w:w="-110"/>
        <w:gridCol w:w="-110"/>
        <w:gridCol w:w="-110"/>
      </w:tblGrid>
      <w:tr>
        <w:trPr>
          <w:trHeight w:val="340" w:hRule="atLeast"/>
        </w:trPr>
        <w:tc>
          <w:tcPr>
            <w:shd w:fill="ffffff"/>
            <w:tcMar>
              <w:top w:w="60.0" w:type="dxa"/>
              <w:left w:w="75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Pré-condições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O sistema estar disponível para acesso via url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a6a6a6"/>
            <w:tcMar>
              <w:top w:w="100.0" w:type="dxa"/>
              <w:left w:w="75.0" w:type="dxa"/>
              <w:bottom w:w="100.0" w:type="dxa"/>
              <w:right w:w="7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N.º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top w:w="100.0" w:type="dxa"/>
              <w:left w:w="75.0" w:type="dxa"/>
              <w:bottom w:w="100.0" w:type="dxa"/>
              <w:right w:w="7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Pré-condições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top w:w="100.0" w:type="dxa"/>
              <w:left w:w="75.0" w:type="dxa"/>
              <w:bottom w:w="100.0" w:type="dxa"/>
              <w:right w:w="7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top w:w="100.0" w:type="dxa"/>
              <w:left w:w="75.0" w:type="dxa"/>
              <w:bottom w:w="100.0" w:type="dxa"/>
              <w:right w:w="7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Resultado Esperado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Ter apresentado a tela de Login após digitar a url na barra de endereços do navegador.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Clicar no botão “Logar.”.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O sistema deve abrir a tela “inicial do sistema”.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Ter apresentado a tela de Login após digitar a url na barra de endereços do navegador.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Clicar no botão “Esqueci Minha Senha”.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O sistema deve abrir a tela para que o usuário possa recuperar sua senha.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141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4"/>
          <w:rtl w:val="0"/>
        </w:rPr>
        <w:t xml:space="preserve">2.2</w:t>
        <w:tab/>
        <w:t xml:space="preserve">Tela Inicial</w:t>
      </w:r>
      <w:r w:rsidRPr="00000000" w:rsidR="00000000" w:rsidDel="00000000">
        <w:rPr>
          <w:rtl w:val="0"/>
        </w:rPr>
      </w:r>
    </w:p>
    <w:tbl>
      <w:tblPr>
        <w:bidiVisual w:val="0"/>
        <w:tblW w:w="9468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</w:tblPr>
      <w:tblGrid>
        <w:gridCol w:w="1693"/>
        <w:gridCol w:w="3041"/>
        <w:gridCol w:w="1693"/>
        <w:gridCol w:w="3041"/>
        <w:gridCol w:w="-110"/>
        <w:gridCol w:w="-110"/>
        <w:gridCol w:w="-110"/>
        <w:gridCol w:w="-110"/>
      </w:tblGrid>
      <w:tr>
        <w:trPr>
          <w:trHeight w:val="340" w:hRule="atLeast"/>
        </w:trPr>
        <w:tc>
          <w:tcPr>
            <w:shd w:fill="ffffff"/>
            <w:tcMar>
              <w:top w:w="60.0" w:type="dxa"/>
              <w:left w:w="75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Pré-condições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O usuário ter efetuado o Login no sistema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a6a6a6"/>
            <w:tcMar>
              <w:top w:w="100.0" w:type="dxa"/>
              <w:left w:w="75.0" w:type="dxa"/>
              <w:bottom w:w="100.0" w:type="dxa"/>
              <w:right w:w="7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N.º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top w:w="100.0" w:type="dxa"/>
              <w:left w:w="75.0" w:type="dxa"/>
              <w:bottom w:w="100.0" w:type="dxa"/>
              <w:right w:w="7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Pré-condições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top w:w="100.0" w:type="dxa"/>
              <w:left w:w="75.0" w:type="dxa"/>
              <w:bottom w:w="100.0" w:type="dxa"/>
              <w:right w:w="7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top w:w="100.0" w:type="dxa"/>
              <w:left w:w="75.0" w:type="dxa"/>
              <w:bottom w:w="100.0" w:type="dxa"/>
              <w:right w:w="7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Resultado Esperado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Ter apresentado a tela inicial, (home) após o usuário ter efetuado o Login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Diversas ações (rodar o sistema e ver as possíveis ações.)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O sistema deve abrir a tela “inicial do sistema”.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Ter apresentado a tela inicial, (home) após o usuário ter efetuado o Login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Clicar no item de menu “Exemplo: Categoria”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O sistema deve abrir a tela de categoria, conforme o exemplo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Ter apresentado a tela inicial, (home) após o usuário ter efetuado o Login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Clicar no item de menu “Exemplo: Categoria”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O sistema deve abrir a tela de categoria, conforme o exemplo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Ter apresentado a tela inicial, (home) após o usuário ter efetuado o Login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Clicar no item de menu “Exemplo: Categoria”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O sistema deve abrir a tela de categoria, conforme o exemplo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Ter apresentado a tela inicial, (home) após o usuário ter efetuado o Login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Clicar no item de menu “Exemplo: Categoria”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O sistema deve abrir a tela de categoria, conforme o exemplo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Ter apresentado a tela inicial, (home) após o usuário ter efetuado o Login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Clicar no item de menu “Exemplo: Categoria”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20.0" w:type="dxa"/>
              <w:left w:w="75.0" w:type="dxa"/>
              <w:bottom w:w="100.0" w:type="dxa"/>
              <w:right w:w="7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O sistema deve abrir a tela de categoria, conforme o exemplo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418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16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drawing>
          <wp:inline>
            <wp:extent cy="4116772" cx="6054545"/>
            <wp:docPr id="6" name="image05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4116772" cx="6054545"/>
                    </a:xfrm>
                    <a:prstGeom prst="rect"/>
                  </pic:spPr>
                </pic:pic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4116772" cx="605454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1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05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865"/>
        </w:tabs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11" w:type="default"/>
      <w:footerReference r:id="rId12" w:type="default"/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212.0" w:type="dxa"/>
      <w:jc w:val="left"/>
      <w:tblBorders>
        <w:top w:color="000000" w:space="0" w:val="single" w:sz="4"/>
        <w:left w:color="000000" w:space="0" w:val="single" w:sz="4"/>
        <w:bottom w:color="000000" w:space="0" w:val="single" w:sz="4"/>
        <w:right w:color="000000" w:space="0" w:val="single" w:sz="4"/>
        <w:insideH w:color="000000" w:space="0" w:val="single" w:sz="4"/>
        <w:insideV w:color="000000" w:space="0" w:val="single" w:sz="4"/>
      </w:tblBorders>
      <w:tblLayout w:type="fixed"/>
    </w:tblPr>
    <w:tblGrid>
      <w:gridCol w:w="3936"/>
      <w:gridCol w:w="1275"/>
      <w:gridCol w:w="2835"/>
      <w:gridCol w:w="1166"/>
    </w:tblGrid>
    <w:tr>
      <w:trPr>
        <w:trHeight w:val="300" w:hRule="atLeast"/>
      </w:trPr>
      <w:tc>
        <w:tcPr>
          <w:tcMar>
            <w:top w:w="100.0" w:type="dxa"/>
            <w:left w:w="115.0" w:type="dxa"/>
            <w:bottom w:w="100.0" w:type="dxa"/>
            <w:right w:w="115.0" w:type="dxa"/>
          </w:tcMar>
        </w:tcPr>
        <w:p w:rsidP="00000000" w:rsidRPr="00000000" w:rsidR="00000000" w:rsidDel="00000000" w:rsidRDefault="00000000">
          <w:pPr>
            <w:tabs>
              <w:tab w:val="center" w:pos="4513"/>
              <w:tab w:val="right" w:pos="9026"/>
            </w:tabs>
            <w:spacing w:lineRule="auto" w:after="60" w:line="240" w:before="0"/>
            <w:contextualSpacing w:val="0"/>
          </w:pPr>
          <w:r w:rsidRPr="00000000" w:rsidR="00000000" w:rsidDel="00000000">
            <w:rPr>
              <w:rFonts w:cs="Verdana" w:hAnsi="Verdana" w:eastAsia="Verdana" w:ascii="Verdana"/>
              <w:sz w:val="22"/>
              <w:rtl w:val="0"/>
            </w:rPr>
            <w:t xml:space="preserve">Projeto PBL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15.0" w:type="dxa"/>
            <w:bottom w:w="100.0" w:type="dxa"/>
            <w:right w:w="115.0" w:type="dxa"/>
          </w:tcMar>
        </w:tcPr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Unime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15.0" w:type="dxa"/>
            <w:bottom w:w="100.0" w:type="dxa"/>
            <w:right w:w="115.0" w:type="dxa"/>
          </w:tcMar>
        </w:tcPr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Especificação de Caso de Teste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15.0" w:type="dxa"/>
            <w:bottom w:w="100.0" w:type="dxa"/>
            <w:right w:w="115.0" w:type="dxa"/>
          </w:tcMar>
        </w:tcPr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Pág </w:t>
          </w:r>
          <w:fldSimple w:dirty="0" w:instr="PAGE" w:fldLock="0">
            <w:r w:rsidRPr="00000000" w:rsidR="00000000" w:rsidDel="00000000">
              <w:rPr>
                <w:rFonts w:cs="Arial" w:hAnsi="Arial" w:eastAsia="Arial" w:ascii="Arial"/>
                <w:sz w:val="16"/>
              </w:rPr>
            </w:r>
          </w:fldSimple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/</w:t>
          </w:r>
          <w:fldSimple w:dirty="0" w:instr="NUMPAGES" w:fldLock="0">
            <w:r w:rsidRPr="00000000" w:rsidR="00000000" w:rsidDel="00000000">
              <w:rPr>
                <w:rFonts w:cs="Arial" w:hAnsi="Arial" w:eastAsia="Arial" w:ascii="Arial"/>
                <w:sz w:val="16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513"/>
        <w:tab w:val="right" w:pos="9026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left" w:pos="1095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left" w:pos="1095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2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68" w:firstLine="708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36" w:firstLine="1416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04" w:firstLine="212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912" w:firstLine="2832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980" w:firstLine="35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688" w:firstLine="4248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6756" w:firstLine="4956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464" w:firstLine="566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5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05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0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8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44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44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80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80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160" w:line="259" w:before="0"/>
      <w:ind w:left="0" w:firstLine="0" w:right="0"/>
      <w:contextualSpacing w:val="1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5.png" Type="http://schemas.openxmlformats.org/officeDocument/2006/relationships/image" Id="rId10"/><Relationship Target="styles.xml" Type="http://schemas.openxmlformats.org/officeDocument/2006/relationships/styles" Id="rId4"/><Relationship Target="header1.xml" Type="http://schemas.openxmlformats.org/officeDocument/2006/relationships/header" Id="rId11"/><Relationship Target="numbering.xml" Type="http://schemas.openxmlformats.org/officeDocument/2006/relationships/numbering" Id="rId3"/><Relationship Target="media/image04.png" Type="http://schemas.openxmlformats.org/officeDocument/2006/relationships/image" Id="rId9"/><Relationship Target="media/image02.png" Type="http://schemas.openxmlformats.org/officeDocument/2006/relationships/image" Id="rId6"/><Relationship Target="media/image01.png" Type="http://schemas.openxmlformats.org/officeDocument/2006/relationships/image" Id="rId5"/><Relationship Target="media/image03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Especificação de Casos de Teste Projeto PBL.docx</dc:title>
</cp:coreProperties>
</file>