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Borders>
          <w:top w:val="none"/>
          <w:left w:val="none"/>
          <w:bottom w:val="none"/>
          <w:right w:val="none"/>
          <w:insideH w:val="none"/>
          <w:insideV w:val="none"/>
        </w:tblBorders>
        <w:tblLayout w:type="fixed"/>
      </w:tblPr>
      <w:tblGrid>
        <w:gridCol w:w="2500"/>
        <w:gridCol w:w="2500"/>
      </w:tblGrid>
      <w:tr>
        <w:tc>
          <w:tcPr>
            <w:tcW w:type="pct" w:w="2500"/>
          </w:tcPr>
          <w:p>
            <w:pPr>
              <w:jc w:val="center"/>
            </w:pPr>
            <w:r/>
            <w:r>
              <w:rPr>
                <w:rFonts w:ascii="Times New Roman" w:hAnsi="Times New Roman" w:cs="Times New Roman"/>
                <w:b/>
                <w:i w:val="0"/>
                <w:sz w:val="22"/>
              </w:rPr>
              <w:t>СОГЛАСОВАНО</w:t>
            </w:r>
          </w:p>
          <w:p>
            <w:pPr>
              <w:spacing w:after="0" w:before="80"/>
              <w:jc w:val="left"/>
            </w:pPr>
            <w:r>
              <w:rPr>
                <w:rFonts w:ascii="Times New Roman" w:hAnsi="Times New Roman" w:cs="Times New Roman"/>
                <w:b w:val="0"/>
                <w:i w:val="0"/>
                <w:sz w:val="20"/>
              </w:rPr>
              <w:t>{{ sog_position }}</w:t>
            </w:r>
          </w:p>
          <w:p>
            <w:pPr>
              <w:spacing w:after="120" w:before="0"/>
              <w:jc w:val="left"/>
            </w:pPr>
            <w:r>
              <w:rPr>
                <w:rFonts w:ascii="Times New Roman" w:hAnsi="Times New Roman" w:cs="Times New Roman"/>
                <w:b w:val="0"/>
                <w:i w:val="0"/>
                <w:sz w:val="20"/>
              </w:rPr>
              <w:t>{{ sog_org }}</w:t>
            </w:r>
          </w:p>
          <w:p>
            <w:pPr>
              <w:spacing w:after="120" w:before="120"/>
              <w:jc w:val="left"/>
            </w:pPr>
            <w:r>
              <w:rPr>
                <w:rFonts w:ascii="Times New Roman" w:hAnsi="Times New Roman" w:cs="Times New Roman"/>
                <w:b w:val="0"/>
                <w:i w:val="0"/>
                <w:sz w:val="20"/>
              </w:rPr>
              <w:t>_______________  {{ sog_name }}</w:t>
            </w:r>
          </w:p>
          <w:p>
            <w:pPr>
              <w:spacing w:after="0" w:before="0"/>
              <w:jc w:val="left"/>
            </w:pPr>
            <w:r>
              <w:rPr>
                <w:rFonts w:ascii="Times New Roman" w:hAnsi="Times New Roman" w:cs="Times New Roman"/>
                <w:b w:val="0"/>
                <w:i w:val="0"/>
                <w:sz w:val="20"/>
              </w:rPr>
              <w:t>____  _____________  {{ sog_date }}</w:t>
            </w:r>
          </w:p>
        </w:tc>
        <w:tc>
          <w:tcPr>
            <w:tcW w:type="pct" w:w="2500"/>
          </w:tcPr>
          <w:p>
            <w:pPr>
              <w:jc w:val="center"/>
            </w:pPr>
            <w:r/>
            <w:r>
              <w:rPr>
                <w:rFonts w:ascii="Times New Roman" w:hAnsi="Times New Roman" w:cs="Times New Roman"/>
                <w:b/>
                <w:i w:val="0"/>
                <w:sz w:val="22"/>
              </w:rPr>
              <w:t>УТВЕРЖДАЮ</w:t>
            </w:r>
          </w:p>
          <w:p>
            <w:pPr>
              <w:spacing w:after="0" w:before="80"/>
              <w:jc w:val="left"/>
            </w:pPr>
            <w:r>
              <w:rPr>
                <w:rFonts w:ascii="Times New Roman" w:hAnsi="Times New Roman" w:cs="Times New Roman"/>
                <w:b w:val="0"/>
                <w:i w:val="0"/>
                <w:sz w:val="20"/>
              </w:rPr>
              <w:t>{{ utv_position }}</w:t>
            </w:r>
          </w:p>
          <w:p>
            <w:pPr>
              <w:spacing w:after="120" w:before="0"/>
              <w:jc w:val="left"/>
            </w:pPr>
            <w:r>
              <w:rPr>
                <w:rFonts w:ascii="Times New Roman" w:hAnsi="Times New Roman" w:cs="Times New Roman"/>
                <w:b w:val="0"/>
                <w:i w:val="0"/>
                <w:sz w:val="20"/>
              </w:rPr>
              <w:t>{{ utv_org }}</w:t>
            </w:r>
          </w:p>
          <w:p>
            <w:pPr>
              <w:spacing w:after="120" w:before="120"/>
              <w:jc w:val="left"/>
            </w:pPr>
            <w:r>
              <w:rPr>
                <w:rFonts w:ascii="Times New Roman" w:hAnsi="Times New Roman" w:cs="Times New Roman"/>
                <w:b w:val="0"/>
                <w:i w:val="0"/>
                <w:sz w:val="20"/>
              </w:rPr>
              <w:t>_______________  {{ utv_name }}</w:t>
            </w:r>
          </w:p>
          <w:p>
            <w:pPr>
              <w:spacing w:after="0" w:before="0"/>
              <w:jc w:val="left"/>
            </w:pPr>
            <w:r>
              <w:rPr>
                <w:rFonts w:ascii="Times New Roman" w:hAnsi="Times New Roman" w:cs="Times New Roman"/>
                <w:b w:val="0"/>
                <w:i w:val="0"/>
                <w:sz w:val="20"/>
              </w:rPr>
              <w:t>____  _____________  {{ utv_date }}</w:t>
            </w:r>
          </w:p>
        </w:tc>
      </w:tr>
    </w:tbl>
    <w:p>
      <w:pPr>
        <w:spacing w:after="40" w:before="200"/>
        <w:jc w:val="center"/>
      </w:pPr>
      <w:r>
        <w:rPr>
          <w:rFonts w:ascii="Times New Roman" w:hAnsi="Times New Roman" w:cs="Times New Roman"/>
          <w:b/>
          <w:i w:val="0"/>
          <w:sz w:val="28"/>
        </w:rPr>
        <w:t>ПЛАН РАБОТ / PLAN OF WORK</w:t>
      </w:r>
    </w:p>
    <w:p>
      <w:pPr>
        <w:spacing w:after="120" w:before="0"/>
        <w:jc w:val="center"/>
      </w:pPr>
      <w:r>
        <w:rPr>
          <w:rFonts w:ascii="Times New Roman" w:hAnsi="Times New Roman" w:cs="Times New Roman"/>
          <w:b/>
          <w:i w:val="0"/>
          <w:sz w:val="22"/>
        </w:rPr>
        <w:t>по оптимизации работы скважины {{ well_no }} с применением твердых пенообразующих реагентов / on optimization of well {{ well_no }} operation with the use of solid foaming reagents</w:t>
      </w:r>
    </w:p>
    <w:p>
      <w:pPr>
        <w:spacing w:after="120" w:before="0"/>
        <w:jc w:val="both"/>
      </w:pPr>
      <w:r>
        <w:rPr>
          <w:rFonts w:ascii="Times New Roman" w:hAnsi="Times New Roman" w:cs="Times New Roman"/>
          <w:b w:val="0"/>
          <w:i w:val="0"/>
          <w:sz w:val="22"/>
        </w:rPr>
        <w:t>Цель работ: подбор рецептуры, концентрации и режимов дозирования пенообразователя для обеспечения стабильной работы газодобывающей скважины путем удаления жидкости из ствола скважины. / Purpose of work: selection of formulation, concentration and dosing regimes of blowing agent to ensure stable operation of gas production well by removing fluid from the wellbore.</w:t>
      </w:r>
    </w:p>
    <w:p>
      <w:pPr>
        <w:spacing w:after="80" w:before="120"/>
      </w:pPr>
      <w:r>
        <w:rPr>
          <w:rFonts w:ascii="Times New Roman" w:hAnsi="Times New Roman" w:cs="Times New Roman"/>
          <w:b/>
          <w:i w:val="0"/>
          <w:sz w:val="24"/>
        </w:rPr>
        <w:t>1 ГЕОЛОГО - ТЕХНИЧЕСКИЕ ДАННЫЕ / GEOLOGICAL AND ENGINEERING DATA</w:t>
      </w:r>
    </w:p>
    <w:p>
      <w:pPr>
        <w:keepNext/>
        <w:spacing w:after="40" w:before="120"/>
      </w:pPr>
      <w:r>
        <w:rPr>
          <w:rFonts w:ascii="Times New Roman" w:hAnsi="Times New Roman" w:cs="Times New Roman"/>
          <w:b w:val="0"/>
          <w:i/>
          <w:sz w:val="22"/>
        </w:rPr>
        <w:t>Таблица 1.1: Параметры скважины / Well data</w:t>
      </w:r>
    </w:p>
    <w:tbl>
      <w:tblPr>
        <w:tblW w:type="pct" w:w="500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500"/>
        <w:gridCol w:w="1500"/>
      </w:tblGrid>
      <w:tr>
        <w:trPr>
          <w:tblHeader/>
        </w:trPr>
        <w:tc>
          <w:tcPr>
            <w:tcW w:type="pct" w:w="3500"/>
          </w:tcPr>
          <w:p>
            <w:pPr>
              <w:spacing w:after="20" w:before="20"/>
              <w:jc w:val="center"/>
            </w:pPr>
            <w:r/>
            <w:r>
              <w:rPr>
                <w:rFonts w:ascii="Times New Roman" w:hAnsi="Times New Roman" w:cs="Times New Roman"/>
                <w:b/>
                <w:i w:val="0"/>
                <w:sz w:val="20"/>
              </w:rPr>
              <w:t>Показатель / Mark</w:t>
            </w:r>
          </w:p>
        </w:tc>
        <w:tc>
          <w:tcPr>
            <w:tcW w:type="pct" w:w="1500"/>
          </w:tcPr>
          <w:p>
            <w:pPr>
              <w:spacing w:after="20" w:before="20"/>
              <w:jc w:val="center"/>
            </w:pPr>
            <w:r/>
            <w:r>
              <w:rPr>
                <w:rFonts w:ascii="Times New Roman" w:hAnsi="Times New Roman" w:cs="Times New Roman"/>
                <w:b/>
                <w:i w:val="0"/>
                <w:sz w:val="20"/>
              </w:rPr>
              <w:t>Значение / Value</w:t>
            </w:r>
          </w:p>
        </w:tc>
      </w:tr>
      <w:tr>
        <w:trPr>
          <w:tblHeader/>
        </w:trPr>
        <w:tc>
          <w:tcPr>
            <w:tcW w:type="pct" w:w="3500"/>
          </w:tcPr>
          <w:p>
            <w:pPr>
              <w:spacing w:after="20" w:before="20"/>
              <w:jc w:val="center"/>
            </w:pPr>
            <w:r/>
            <w:r>
              <w:rPr>
                <w:rFonts w:ascii="Times New Roman" w:hAnsi="Times New Roman" w:cs="Times New Roman"/>
                <w:b w:val="0"/>
                <w:i w:val="0"/>
                <w:sz w:val="20"/>
              </w:rPr>
              <w:t>1</w:t>
            </w:r>
          </w:p>
        </w:tc>
        <w:tc>
          <w:tcPr>
            <w:tcW w:type="pct" w:w="1500"/>
          </w:tcPr>
          <w:p>
            <w:pPr>
              <w:spacing w:after="20" w:before="20"/>
              <w:jc w:val="center"/>
            </w:pPr>
            <w:r/>
            <w:r>
              <w:rPr>
                <w:rFonts w:ascii="Times New Roman" w:hAnsi="Times New Roman" w:cs="Times New Roman"/>
                <w:b w:val="0"/>
                <w:i w:val="0"/>
                <w:sz w:val="20"/>
              </w:rPr>
              <w:t>2</w:t>
            </w:r>
          </w:p>
        </w:tc>
      </w:tr>
      <w:tr>
        <w:tc>
          <w:tcPr>
            <w:tcW w:type="pct" w:w="3500"/>
          </w:tcPr>
          <w:p>
            <w:pPr>
              <w:spacing w:after="20" w:before="20"/>
            </w:pPr>
            <w:r/>
            <w:r>
              <w:rPr>
                <w:rFonts w:ascii="Times New Roman" w:hAnsi="Times New Roman" w:cs="Times New Roman"/>
                <w:b w:val="0"/>
                <w:i w:val="0"/>
                <w:sz w:val="20"/>
              </w:rPr>
              <w:t>№ скважины / Well No.</w:t>
            </w:r>
          </w:p>
        </w:tc>
        <w:tc>
          <w:tcPr>
            <w:tcW w:type="pct" w:w="1500"/>
          </w:tcPr>
          <w:p>
            <w:pPr>
              <w:spacing w:after="20" w:before="20"/>
            </w:pPr>
            <w:r/>
            <w:r>
              <w:rPr>
                <w:rFonts w:ascii="Times New Roman" w:hAnsi="Times New Roman" w:cs="Times New Roman"/>
                <w:b w:val="0"/>
                <w:i w:val="0"/>
                <w:sz w:val="20"/>
              </w:rPr>
              <w:t>{{ t.well_no }}</w:t>
            </w:r>
          </w:p>
        </w:tc>
      </w:tr>
      <w:tr>
        <w:tc>
          <w:tcPr>
            <w:tcW w:type="pct" w:w="3500"/>
          </w:tcPr>
          <w:p>
            <w:pPr>
              <w:spacing w:after="20" w:before="20"/>
            </w:pPr>
            <w:r/>
            <w:r>
              <w:rPr>
                <w:rFonts w:ascii="Times New Roman" w:hAnsi="Times New Roman" w:cs="Times New Roman"/>
                <w:b w:val="0"/>
                <w:i w:val="0"/>
                <w:sz w:val="20"/>
              </w:rPr>
              <w:t>Диаметр эксплуатационной колонны, мм / Production casing diameter, mm</w:t>
            </w:r>
          </w:p>
        </w:tc>
        <w:tc>
          <w:tcPr>
            <w:tcW w:type="pct" w:w="1500"/>
          </w:tcPr>
          <w:p>
            <w:pPr>
              <w:spacing w:after="20" w:before="20"/>
            </w:pPr>
            <w:r/>
            <w:r>
              <w:rPr>
                <w:rFonts w:ascii="Times New Roman" w:hAnsi="Times New Roman" w:cs="Times New Roman"/>
                <w:b w:val="0"/>
                <w:i w:val="0"/>
                <w:sz w:val="20"/>
              </w:rPr>
              <w:t>{{ t.prod_casing_diam }}</w:t>
            </w:r>
          </w:p>
        </w:tc>
      </w:tr>
      <w:tr>
        <w:tc>
          <w:tcPr>
            <w:tcW w:type="pct" w:w="3500"/>
          </w:tcPr>
          <w:p>
            <w:pPr>
              <w:spacing w:after="20" w:before="20"/>
            </w:pPr>
            <w:r/>
            <w:r>
              <w:rPr>
                <w:rFonts w:ascii="Times New Roman" w:hAnsi="Times New Roman" w:cs="Times New Roman"/>
                <w:b w:val="0"/>
                <w:i w:val="0"/>
                <w:sz w:val="20"/>
              </w:rPr>
              <w:t>Глубина спуска эксплуатационной колонны, м / Depth of running production casing, m</w:t>
            </w:r>
          </w:p>
        </w:tc>
        <w:tc>
          <w:tcPr>
            <w:tcW w:type="pct" w:w="1500"/>
          </w:tcPr>
          <w:p>
            <w:pPr>
              <w:spacing w:after="20" w:before="20"/>
            </w:pPr>
            <w:r/>
            <w:r>
              <w:rPr>
                <w:rFonts w:ascii="Times New Roman" w:hAnsi="Times New Roman" w:cs="Times New Roman"/>
                <w:b w:val="0"/>
                <w:i w:val="0"/>
                <w:sz w:val="20"/>
              </w:rPr>
              <w:t>{{ t.prod_casing_depth }}</w:t>
            </w:r>
          </w:p>
        </w:tc>
      </w:tr>
      <w:tr>
        <w:tc>
          <w:tcPr>
            <w:tcW w:type="pct" w:w="3500"/>
          </w:tcPr>
          <w:p>
            <w:pPr>
              <w:spacing w:after="20" w:before="20"/>
            </w:pPr>
            <w:r/>
            <w:r>
              <w:rPr>
                <w:rFonts w:ascii="Times New Roman" w:hAnsi="Times New Roman" w:cs="Times New Roman"/>
                <w:b w:val="0"/>
                <w:i w:val="0"/>
                <w:sz w:val="20"/>
              </w:rPr>
              <w:t>Текущий забой, м / Current bottomhole, m</w:t>
            </w:r>
          </w:p>
        </w:tc>
        <w:tc>
          <w:tcPr>
            <w:tcW w:type="pct" w:w="1500"/>
          </w:tcPr>
          <w:p>
            <w:pPr>
              <w:spacing w:after="20" w:before="20"/>
            </w:pPr>
            <w:r/>
            <w:r>
              <w:rPr>
                <w:rFonts w:ascii="Times New Roman" w:hAnsi="Times New Roman" w:cs="Times New Roman"/>
                <w:b w:val="0"/>
                <w:i w:val="0"/>
                <w:sz w:val="20"/>
              </w:rPr>
              <w:t>{{ t.bottomhole }}</w:t>
            </w:r>
          </w:p>
        </w:tc>
      </w:tr>
      <w:tr>
        <w:tc>
          <w:tcPr>
            <w:tcW w:type="pct" w:w="3500"/>
          </w:tcPr>
          <w:p>
            <w:pPr>
              <w:spacing w:after="20" w:before="20"/>
            </w:pPr>
            <w:r/>
            <w:r>
              <w:rPr>
                <w:rFonts w:ascii="Times New Roman" w:hAnsi="Times New Roman" w:cs="Times New Roman"/>
                <w:b w:val="0"/>
                <w:i w:val="0"/>
                <w:sz w:val="20"/>
              </w:rPr>
              <w:t>Горизонт / Horizon</w:t>
            </w:r>
          </w:p>
        </w:tc>
        <w:tc>
          <w:tcPr>
            <w:tcW w:type="pct" w:w="1500"/>
          </w:tcPr>
          <w:p>
            <w:pPr>
              <w:spacing w:after="20" w:before="20"/>
            </w:pPr>
            <w:r/>
            <w:r>
              <w:rPr>
                <w:rFonts w:ascii="Times New Roman" w:hAnsi="Times New Roman" w:cs="Times New Roman"/>
                <w:b w:val="0"/>
                <w:i w:val="0"/>
                <w:sz w:val="20"/>
              </w:rPr>
              <w:t>{{ t.horizon }}</w:t>
            </w:r>
          </w:p>
        </w:tc>
      </w:tr>
      <w:tr>
        <w:tc>
          <w:tcPr>
            <w:tcW w:type="pct" w:w="3500"/>
          </w:tcPr>
          <w:p>
            <w:pPr>
              <w:spacing w:after="20" w:before="20"/>
            </w:pPr>
            <w:r/>
            <w:r>
              <w:rPr>
                <w:rFonts w:ascii="Times New Roman" w:hAnsi="Times New Roman" w:cs="Times New Roman"/>
                <w:b w:val="0"/>
                <w:i w:val="0"/>
                <w:sz w:val="20"/>
              </w:rPr>
              <w:t>Интервалы перфорации, м / Perforation intervals, m</w:t>
            </w:r>
          </w:p>
        </w:tc>
        <w:tc>
          <w:tcPr>
            <w:tcW w:type="pct" w:w="1500"/>
          </w:tcPr>
          <w:p>
            <w:pPr>
              <w:spacing w:after="20" w:before="20"/>
            </w:pPr>
            <w:r/>
            <w:r>
              <w:rPr>
                <w:rFonts w:ascii="Times New Roman" w:hAnsi="Times New Roman" w:cs="Times New Roman"/>
                <w:b w:val="0"/>
                <w:i w:val="0"/>
                <w:sz w:val="20"/>
              </w:rPr>
              <w:t>{{ t.perforation }}</w:t>
            </w:r>
          </w:p>
        </w:tc>
      </w:tr>
      <w:tr>
        <w:tc>
          <w:tcPr>
            <w:tcW w:type="pct" w:w="3500"/>
          </w:tcPr>
          <w:p>
            <w:pPr>
              <w:spacing w:after="20" w:before="20"/>
            </w:pPr>
            <w:r/>
            <w:r>
              <w:rPr>
                <w:rFonts w:ascii="Times New Roman" w:hAnsi="Times New Roman" w:cs="Times New Roman"/>
                <w:b w:val="0"/>
                <w:i w:val="0"/>
                <w:sz w:val="20"/>
              </w:rPr>
              <w:t>Диаметр НКТ, мм / Diameter of tubing, mm</w:t>
            </w:r>
          </w:p>
        </w:tc>
        <w:tc>
          <w:tcPr>
            <w:tcW w:type="pct" w:w="1500"/>
          </w:tcPr>
          <w:p>
            <w:pPr>
              <w:spacing w:after="20" w:before="20"/>
            </w:pPr>
            <w:r/>
            <w:r>
              <w:rPr>
                <w:rFonts w:ascii="Times New Roman" w:hAnsi="Times New Roman" w:cs="Times New Roman"/>
                <w:b w:val="0"/>
                <w:i w:val="0"/>
                <w:sz w:val="20"/>
              </w:rPr>
              <w:t>{{ t.tubing_diam }}</w:t>
            </w:r>
          </w:p>
        </w:tc>
      </w:tr>
      <w:tr>
        <w:tc>
          <w:tcPr>
            <w:tcW w:type="pct" w:w="3500"/>
          </w:tcPr>
          <w:p>
            <w:pPr>
              <w:spacing w:after="20" w:before="20"/>
            </w:pPr>
            <w:r/>
            <w:r>
              <w:rPr>
                <w:rFonts w:ascii="Times New Roman" w:hAnsi="Times New Roman" w:cs="Times New Roman"/>
                <w:b w:val="0"/>
                <w:i w:val="0"/>
                <w:sz w:val="20"/>
              </w:rPr>
              <w:t>Глубина башмака НКТ, м / Tubing shoe depth, m</w:t>
            </w:r>
          </w:p>
        </w:tc>
        <w:tc>
          <w:tcPr>
            <w:tcW w:type="pct" w:w="1500"/>
          </w:tcPr>
          <w:p>
            <w:pPr>
              <w:spacing w:after="20" w:before="20"/>
            </w:pPr>
            <w:r/>
            <w:r>
              <w:rPr>
                <w:rFonts w:ascii="Times New Roman" w:hAnsi="Times New Roman" w:cs="Times New Roman"/>
                <w:b w:val="0"/>
                <w:i w:val="0"/>
                <w:sz w:val="20"/>
              </w:rPr>
              <w:t>{{ t.tubing_shoe }}</w:t>
            </w:r>
          </w:p>
        </w:tc>
      </w:tr>
      <w:tr>
        <w:tc>
          <w:tcPr>
            <w:tcW w:type="pct" w:w="3500"/>
          </w:tcPr>
          <w:p>
            <w:pPr>
              <w:spacing w:after="20" w:before="20"/>
            </w:pPr>
            <w:r/>
            <w:r>
              <w:rPr>
                <w:rFonts w:ascii="Times New Roman" w:hAnsi="Times New Roman" w:cs="Times New Roman"/>
                <w:b w:val="0"/>
                <w:i w:val="0"/>
                <w:sz w:val="20"/>
              </w:rPr>
              <w:t>Глубина пакера, м / Packer depth, m</w:t>
            </w:r>
          </w:p>
        </w:tc>
        <w:tc>
          <w:tcPr>
            <w:tcW w:type="pct" w:w="1500"/>
          </w:tcPr>
          <w:p>
            <w:pPr>
              <w:spacing w:after="20" w:before="20"/>
            </w:pPr>
            <w:r/>
            <w:r>
              <w:rPr>
                <w:rFonts w:ascii="Times New Roman" w:hAnsi="Times New Roman" w:cs="Times New Roman"/>
                <w:b w:val="0"/>
                <w:i w:val="0"/>
                <w:sz w:val="20"/>
              </w:rPr>
              <w:t>{{ t.packer }}</w:t>
            </w:r>
          </w:p>
        </w:tc>
      </w:tr>
      <w:tr>
        <w:tc>
          <w:tcPr>
            <w:tcW w:type="pct" w:w="3500"/>
          </w:tcPr>
          <w:p>
            <w:pPr>
              <w:spacing w:after="20" w:before="20"/>
            </w:pPr>
            <w:r/>
            <w:r>
              <w:rPr>
                <w:rFonts w:ascii="Times New Roman" w:hAnsi="Times New Roman" w:cs="Times New Roman"/>
                <w:b w:val="0"/>
                <w:i w:val="0"/>
                <w:sz w:val="20"/>
              </w:rPr>
              <w:t>Глубина переводника, м / Adapter depth, m</w:t>
            </w:r>
          </w:p>
        </w:tc>
        <w:tc>
          <w:tcPr>
            <w:tcW w:type="pct" w:w="1500"/>
          </w:tcPr>
          <w:p>
            <w:pPr>
              <w:spacing w:after="20" w:before="20"/>
            </w:pPr>
            <w:r/>
            <w:r>
              <w:rPr>
                <w:rFonts w:ascii="Times New Roman" w:hAnsi="Times New Roman" w:cs="Times New Roman"/>
                <w:b w:val="0"/>
                <w:i w:val="0"/>
                <w:sz w:val="20"/>
              </w:rPr>
              <w:t>{{ t.adapter }}</w:t>
            </w:r>
          </w:p>
        </w:tc>
      </w:tr>
      <w:tr>
        <w:tc>
          <w:tcPr>
            <w:tcW w:type="pct" w:w="3500"/>
          </w:tcPr>
          <w:p>
            <w:pPr>
              <w:spacing w:after="20" w:before="20"/>
            </w:pPr>
            <w:r/>
            <w:r>
              <w:rPr>
                <w:rFonts w:ascii="Times New Roman" w:hAnsi="Times New Roman" w:cs="Times New Roman"/>
                <w:b w:val="0"/>
                <w:i w:val="0"/>
                <w:sz w:val="20"/>
              </w:rPr>
              <w:t>Глубина непрохода шаблона, м / Depth of pattern stuck, m</w:t>
            </w:r>
          </w:p>
        </w:tc>
        <w:tc>
          <w:tcPr>
            <w:tcW w:type="pct" w:w="1500"/>
          </w:tcPr>
          <w:p>
            <w:pPr>
              <w:spacing w:after="20" w:before="20"/>
            </w:pPr>
            <w:r/>
            <w:r>
              <w:rPr>
                <w:rFonts w:ascii="Times New Roman" w:hAnsi="Times New Roman" w:cs="Times New Roman"/>
                <w:b w:val="0"/>
                <w:i w:val="0"/>
                <w:sz w:val="20"/>
              </w:rPr>
              <w:t>{{ t.pattern_stuck }}</w:t>
            </w:r>
          </w:p>
        </w:tc>
      </w:tr>
      <w:tr>
        <w:tc>
          <w:tcPr>
            <w:tcW w:type="pct" w:w="3500"/>
          </w:tcPr>
          <w:p>
            <w:pPr>
              <w:spacing w:after="20" w:before="20"/>
            </w:pPr>
            <w:r/>
            <w:r>
              <w:rPr>
                <w:rFonts w:ascii="Times New Roman" w:hAnsi="Times New Roman" w:cs="Times New Roman"/>
                <w:b w:val="0"/>
                <w:i w:val="0"/>
                <w:sz w:val="20"/>
              </w:rPr>
              <w:t>Диаметр штуцера, мм / Choke diameter, mm</w:t>
            </w:r>
          </w:p>
        </w:tc>
        <w:tc>
          <w:tcPr>
            <w:tcW w:type="pct" w:w="1500"/>
          </w:tcPr>
          <w:p>
            <w:pPr>
              <w:spacing w:after="20" w:before="20"/>
            </w:pPr>
            <w:r/>
            <w:r>
              <w:rPr>
                <w:rFonts w:ascii="Times New Roman" w:hAnsi="Times New Roman" w:cs="Times New Roman"/>
                <w:b w:val="0"/>
                <w:i w:val="0"/>
                <w:sz w:val="20"/>
              </w:rPr>
              <w:t>{{ t.choke }}</w:t>
            </w:r>
          </w:p>
        </w:tc>
      </w:tr>
      <w:tr>
        <w:tc>
          <w:tcPr>
            <w:tcW w:type="pct" w:w="3500"/>
          </w:tcPr>
          <w:p>
            <w:pPr>
              <w:spacing w:after="20" w:before="20"/>
            </w:pPr>
            <w:r/>
            <w:r>
              <w:rPr>
                <w:rFonts w:ascii="Times New Roman" w:hAnsi="Times New Roman" w:cs="Times New Roman"/>
                <w:b w:val="0"/>
                <w:i w:val="0"/>
                <w:sz w:val="20"/>
              </w:rPr>
              <w:t>Трубное давление, кгс/см² / Tubing pressure, kgf/cm²</w:t>
            </w:r>
          </w:p>
        </w:tc>
        <w:tc>
          <w:tcPr>
            <w:tcW w:type="pct" w:w="1500"/>
          </w:tcPr>
          <w:p>
            <w:pPr>
              <w:spacing w:after="20" w:before="20"/>
            </w:pPr>
            <w:r/>
            <w:r>
              <w:rPr>
                <w:rFonts w:ascii="Times New Roman" w:hAnsi="Times New Roman" w:cs="Times New Roman"/>
                <w:b w:val="0"/>
                <w:i w:val="0"/>
                <w:sz w:val="20"/>
              </w:rPr>
              <w:t>{{ t.p_tube }}</w:t>
            </w:r>
          </w:p>
        </w:tc>
      </w:tr>
      <w:tr>
        <w:tc>
          <w:tcPr>
            <w:tcW w:type="pct" w:w="3500"/>
          </w:tcPr>
          <w:p>
            <w:pPr>
              <w:spacing w:after="20" w:before="20"/>
            </w:pPr>
            <w:r/>
            <w:r>
              <w:rPr>
                <w:rFonts w:ascii="Times New Roman" w:hAnsi="Times New Roman" w:cs="Times New Roman"/>
                <w:b w:val="0"/>
                <w:i w:val="0"/>
                <w:sz w:val="20"/>
              </w:rPr>
              <w:t>Затрубное давление, кгс/см² / Annulus pressure, kgf/cm²</w:t>
            </w:r>
          </w:p>
        </w:tc>
        <w:tc>
          <w:tcPr>
            <w:tcW w:type="pct" w:w="1500"/>
          </w:tcPr>
          <w:p>
            <w:pPr>
              <w:spacing w:after="20" w:before="20"/>
            </w:pPr>
            <w:r/>
            <w:r>
              <w:rPr>
                <w:rFonts w:ascii="Times New Roman" w:hAnsi="Times New Roman" w:cs="Times New Roman"/>
                <w:b w:val="0"/>
                <w:i w:val="0"/>
                <w:sz w:val="20"/>
              </w:rPr>
              <w:t>{{ t.p_annulus }}</w:t>
            </w:r>
          </w:p>
        </w:tc>
      </w:tr>
      <w:tr>
        <w:tc>
          <w:tcPr>
            <w:tcW w:type="pct" w:w="3500"/>
          </w:tcPr>
          <w:p>
            <w:pPr>
              <w:spacing w:after="20" w:before="20"/>
            </w:pPr>
            <w:r/>
            <w:r>
              <w:rPr>
                <w:rFonts w:ascii="Times New Roman" w:hAnsi="Times New Roman" w:cs="Times New Roman"/>
                <w:b w:val="0"/>
                <w:i w:val="0"/>
                <w:sz w:val="20"/>
              </w:rPr>
              <w:t>Шлейфное давление, кгс/см² / Flowline pressure, kgf/cm²</w:t>
            </w:r>
          </w:p>
        </w:tc>
        <w:tc>
          <w:tcPr>
            <w:tcW w:type="pct" w:w="1500"/>
          </w:tcPr>
          <w:p>
            <w:pPr>
              <w:spacing w:after="20" w:before="20"/>
            </w:pPr>
            <w:r/>
            <w:r>
              <w:rPr>
                <w:rFonts w:ascii="Times New Roman" w:hAnsi="Times New Roman" w:cs="Times New Roman"/>
                <w:b w:val="0"/>
                <w:i w:val="0"/>
                <w:sz w:val="20"/>
              </w:rPr>
              <w:t>{{ t.p_flowline }}</w:t>
            </w:r>
          </w:p>
        </w:tc>
      </w:tr>
      <w:tr>
        <w:tc>
          <w:tcPr>
            <w:tcW w:type="pct" w:w="3500"/>
          </w:tcPr>
          <w:p>
            <w:pPr>
              <w:spacing w:after="20" w:before="20"/>
            </w:pPr>
            <w:r/>
            <w:r>
              <w:rPr>
                <w:rFonts w:ascii="Times New Roman" w:hAnsi="Times New Roman" w:cs="Times New Roman"/>
                <w:b w:val="0"/>
                <w:i w:val="0"/>
                <w:sz w:val="20"/>
              </w:rPr>
              <w:t>Дебит газа, тыс.м³/сут / Gas rate, ths.m³/day</w:t>
            </w:r>
          </w:p>
        </w:tc>
        <w:tc>
          <w:tcPr>
            <w:tcW w:type="pct" w:w="1500"/>
          </w:tcPr>
          <w:p>
            <w:pPr>
              <w:spacing w:after="20" w:before="20"/>
            </w:pPr>
            <w:r/>
            <w:r>
              <w:rPr>
                <w:rFonts w:ascii="Times New Roman" w:hAnsi="Times New Roman" w:cs="Times New Roman"/>
                <w:b w:val="0"/>
                <w:i w:val="0"/>
                <w:sz w:val="20"/>
              </w:rPr>
              <w:t>{{ t.q_gas }}</w:t>
            </w:r>
          </w:p>
        </w:tc>
      </w:tr>
      <w:tr>
        <w:tc>
          <w:tcPr>
            <w:tcW w:type="pct" w:w="3500"/>
          </w:tcPr>
          <w:p>
            <w:pPr>
              <w:spacing w:after="20" w:before="20"/>
            </w:pPr>
            <w:r/>
            <w:r>
              <w:rPr>
                <w:rFonts w:ascii="Times New Roman" w:hAnsi="Times New Roman" w:cs="Times New Roman"/>
                <w:b w:val="0"/>
                <w:i w:val="0"/>
                <w:sz w:val="20"/>
              </w:rPr>
              <w:t>Статическое давление, кгс/см² / Static pressure, kgf/cm²</w:t>
            </w:r>
          </w:p>
        </w:tc>
        <w:tc>
          <w:tcPr>
            <w:tcW w:type="pct" w:w="1500"/>
          </w:tcPr>
          <w:p>
            <w:pPr>
              <w:spacing w:after="20" w:before="20"/>
            </w:pPr>
            <w:r/>
            <w:r>
              <w:rPr>
                <w:rFonts w:ascii="Times New Roman" w:hAnsi="Times New Roman" w:cs="Times New Roman"/>
                <w:b w:val="0"/>
                <w:i w:val="0"/>
                <w:sz w:val="20"/>
              </w:rPr>
              <w:t>{{ t.p_static }}</w:t>
            </w:r>
          </w:p>
        </w:tc>
      </w:tr>
      <w:tr>
        <w:tc>
          <w:tcPr>
            <w:tcW w:type="pct" w:w="3500"/>
          </w:tcPr>
          <w:p>
            <w:pPr>
              <w:spacing w:after="20" w:before="20"/>
            </w:pPr>
            <w:r/>
            <w:r>
              <w:rPr>
                <w:rFonts w:ascii="Times New Roman" w:hAnsi="Times New Roman" w:cs="Times New Roman"/>
                <w:b w:val="0"/>
                <w:i w:val="0"/>
                <w:sz w:val="20"/>
              </w:rPr>
              <w:t>Пластовое давление, кгс/см² / Reservoir pressure, kgf/cm²</w:t>
            </w:r>
          </w:p>
        </w:tc>
        <w:tc>
          <w:tcPr>
            <w:tcW w:type="pct" w:w="1500"/>
          </w:tcPr>
          <w:p>
            <w:pPr>
              <w:spacing w:after="20" w:before="20"/>
            </w:pPr>
            <w:r/>
            <w:r>
              <w:rPr>
                <w:rFonts w:ascii="Times New Roman" w:hAnsi="Times New Roman" w:cs="Times New Roman"/>
                <w:b w:val="0"/>
                <w:i w:val="0"/>
                <w:sz w:val="20"/>
              </w:rPr>
              <w:t>{{ t.p_reservoir }}</w:t>
            </w:r>
          </w:p>
        </w:tc>
      </w:tr>
      <w:tr>
        <w:tc>
          <w:tcPr>
            <w:tcW w:type="pct" w:w="3500"/>
          </w:tcPr>
          <w:p>
            <w:pPr>
              <w:spacing w:after="20" w:before="20"/>
            </w:pPr>
            <w:r/>
            <w:r>
              <w:rPr>
                <w:rFonts w:ascii="Times New Roman" w:hAnsi="Times New Roman" w:cs="Times New Roman"/>
                <w:b w:val="0"/>
                <w:i w:val="0"/>
                <w:sz w:val="20"/>
              </w:rPr>
              <w:t>Периодичность продувки, час / Blowing frequency, hour</w:t>
            </w:r>
          </w:p>
        </w:tc>
        <w:tc>
          <w:tcPr>
            <w:tcW w:type="pct" w:w="1500"/>
          </w:tcPr>
          <w:p>
            <w:pPr>
              <w:spacing w:after="20" w:before="20"/>
            </w:pPr>
            <w:r/>
            <w:r>
              <w:rPr>
                <w:rFonts w:ascii="Times New Roman" w:hAnsi="Times New Roman" w:cs="Times New Roman"/>
                <w:b w:val="0"/>
                <w:i w:val="0"/>
                <w:sz w:val="20"/>
              </w:rPr>
              <w:t>{{ t.purge_freq }}</w:t>
            </w:r>
          </w:p>
        </w:tc>
      </w:tr>
      <w:tr>
        <w:tc>
          <w:tcPr>
            <w:tcW w:type="pct" w:w="3500"/>
          </w:tcPr>
          <w:p>
            <w:pPr>
              <w:spacing w:after="20" w:before="20"/>
            </w:pPr>
            <w:r/>
            <w:r>
              <w:rPr>
                <w:rFonts w:ascii="Times New Roman" w:hAnsi="Times New Roman" w:cs="Times New Roman"/>
                <w:b w:val="0"/>
                <w:i w:val="0"/>
                <w:sz w:val="20"/>
              </w:rPr>
              <w:t>Длительность продувки, мин / Blowing duration, min</w:t>
            </w:r>
          </w:p>
        </w:tc>
        <w:tc>
          <w:tcPr>
            <w:tcW w:type="pct" w:w="1500"/>
          </w:tcPr>
          <w:p>
            <w:pPr>
              <w:spacing w:after="20" w:before="20"/>
            </w:pPr>
            <w:r/>
            <w:r>
              <w:rPr>
                <w:rFonts w:ascii="Times New Roman" w:hAnsi="Times New Roman" w:cs="Times New Roman"/>
                <w:b w:val="0"/>
                <w:i w:val="0"/>
                <w:sz w:val="20"/>
              </w:rPr>
              <w:t>{{ t.purge_dur }}</w:t>
            </w:r>
          </w:p>
        </w:tc>
      </w:tr>
      <w:tr>
        <w:tc>
          <w:tcPr>
            <w:tcW w:type="pct" w:w="3500"/>
          </w:tcPr>
          <w:p>
            <w:pPr>
              <w:spacing w:after="20" w:before="20"/>
            </w:pPr>
            <w:r/>
            <w:r>
              <w:rPr>
                <w:rFonts w:ascii="Times New Roman" w:hAnsi="Times New Roman" w:cs="Times New Roman"/>
                <w:b w:val="0"/>
                <w:i w:val="0"/>
                <w:sz w:val="20"/>
              </w:rPr>
              <w:t>Результаты последних ГДИ/ГКИ/ОПП (прилагаются к заявке) / Results of latest GDS/GCS/PLT (attached to the application)</w:t>
            </w:r>
          </w:p>
        </w:tc>
        <w:tc>
          <w:tcPr>
            <w:tcW w:type="pct" w:w="1500"/>
          </w:tcPr>
          <w:p>
            <w:pPr>
              <w:spacing w:after="20" w:before="20"/>
            </w:pPr>
            <w:r/>
            <w:r>
              <w:rPr>
                <w:rFonts w:ascii="Times New Roman" w:hAnsi="Times New Roman" w:cs="Times New Roman"/>
                <w:b w:val="0"/>
                <w:i w:val="0"/>
                <w:sz w:val="20"/>
              </w:rPr>
              <w:t>{{ t.gdi }}</w:t>
            </w:r>
          </w:p>
        </w:tc>
      </w:tr>
    </w:tbl>
    <w:p>
      <w:pPr>
        <w:spacing w:after="80" w:before="200"/>
      </w:pPr>
      <w:r>
        <w:rPr>
          <w:rFonts w:ascii="Times New Roman" w:hAnsi="Times New Roman" w:cs="Times New Roman"/>
          <w:b/>
          <w:i w:val="0"/>
          <w:sz w:val="24"/>
        </w:rPr>
        <w:t>2 МАТЕРИАЛЫ И ОБОРУДОВАНИЕ / MATERIALS AND EQUIPMENT</w:t>
      </w:r>
    </w:p>
    <w:p>
      <w:pPr>
        <w:keepNext/>
        <w:spacing w:after="40" w:before="120"/>
      </w:pPr>
      <w:r>
        <w:rPr>
          <w:rFonts w:ascii="Times New Roman" w:hAnsi="Times New Roman" w:cs="Times New Roman"/>
          <w:b w:val="0"/>
          <w:i/>
          <w:sz w:val="22"/>
        </w:rPr>
        <w:t>Таблица 2.1: Перечень оборудования и материалов / Equipment and materials list</w:t>
      </w:r>
    </w:p>
    <w:tbl>
      <w:tblPr>
        <w:tblW w:type="pct" w:w="500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
        <w:gridCol w:w="2750"/>
        <w:gridCol w:w="450"/>
        <w:gridCol w:w="550"/>
        <w:gridCol w:w="1000"/>
      </w:tblGrid>
      <w:tr>
        <w:trPr>
          <w:tblHeader/>
        </w:trPr>
        <w:tc>
          <w:tcPr>
            <w:tcW w:type="pct" w:w="250"/>
          </w:tcPr>
          <w:p>
            <w:pPr>
              <w:spacing w:after="20" w:before="20"/>
              <w:jc w:val="center"/>
            </w:pPr>
            <w:r/>
            <w:r>
              <w:rPr>
                <w:rFonts w:ascii="Times New Roman" w:hAnsi="Times New Roman" w:cs="Times New Roman"/>
                <w:b/>
                <w:i w:val="0"/>
                <w:sz w:val="20"/>
              </w:rPr>
              <w:t>№</w:t>
            </w:r>
          </w:p>
        </w:tc>
        <w:tc>
          <w:tcPr>
            <w:tcW w:type="pct" w:w="2750"/>
          </w:tcPr>
          <w:p>
            <w:pPr>
              <w:spacing w:after="20" w:before="20"/>
              <w:jc w:val="center"/>
            </w:pPr>
            <w:r/>
            <w:r>
              <w:rPr>
                <w:rFonts w:ascii="Times New Roman" w:hAnsi="Times New Roman" w:cs="Times New Roman"/>
                <w:b/>
                <w:i w:val="0"/>
                <w:sz w:val="20"/>
              </w:rPr>
              <w:t>Перечень материалов и оборудования / Materials and equipment list</w:t>
            </w:r>
          </w:p>
        </w:tc>
        <w:tc>
          <w:tcPr>
            <w:tcW w:type="pct" w:w="450"/>
          </w:tcPr>
          <w:p>
            <w:pPr>
              <w:spacing w:after="20" w:before="20"/>
              <w:jc w:val="center"/>
            </w:pPr>
            <w:r/>
            <w:r>
              <w:rPr>
                <w:rFonts w:ascii="Times New Roman" w:hAnsi="Times New Roman" w:cs="Times New Roman"/>
                <w:b/>
                <w:i w:val="0"/>
                <w:sz w:val="20"/>
              </w:rPr>
              <w:t>ед</w:t>
            </w:r>
          </w:p>
        </w:tc>
        <w:tc>
          <w:tcPr>
            <w:tcW w:type="pct" w:w="550"/>
          </w:tcPr>
          <w:p>
            <w:pPr>
              <w:spacing w:after="20" w:before="20"/>
              <w:jc w:val="center"/>
            </w:pPr>
            <w:r/>
            <w:r>
              <w:rPr>
                <w:rFonts w:ascii="Times New Roman" w:hAnsi="Times New Roman" w:cs="Times New Roman"/>
                <w:b/>
                <w:i w:val="0"/>
                <w:sz w:val="20"/>
              </w:rPr>
              <w:t>к-во / quantity</w:t>
            </w:r>
          </w:p>
        </w:tc>
        <w:tc>
          <w:tcPr>
            <w:tcW w:type="pct" w:w="1000"/>
          </w:tcPr>
          <w:p>
            <w:pPr>
              <w:spacing w:after="20" w:before="20"/>
              <w:jc w:val="center"/>
            </w:pPr>
            <w:r/>
            <w:r>
              <w:rPr>
                <w:rFonts w:ascii="Times New Roman" w:hAnsi="Times New Roman" w:cs="Times New Roman"/>
                <w:b/>
                <w:i w:val="0"/>
                <w:sz w:val="20"/>
              </w:rPr>
              <w:t>Ответственный / Responsibility</w:t>
            </w:r>
          </w:p>
        </w:tc>
      </w:tr>
      <w:tr>
        <w:trPr>
          <w:tblHeader/>
        </w:trPr>
        <w:tc>
          <w:tcPr>
            <w:tcW w:type="pct" w:w="250"/>
          </w:tcPr>
          <w:p>
            <w:pPr>
              <w:spacing w:after="20" w:before="20"/>
              <w:jc w:val="center"/>
            </w:pPr>
            <w:r/>
            <w:r>
              <w:rPr>
                <w:rFonts w:ascii="Times New Roman" w:hAnsi="Times New Roman" w:cs="Times New Roman"/>
                <w:b w:val="0"/>
                <w:i w:val="0"/>
                <w:sz w:val="20"/>
              </w:rPr>
              <w:t>1</w:t>
            </w:r>
          </w:p>
        </w:tc>
        <w:tc>
          <w:tcPr>
            <w:tcW w:type="pct" w:w="2750"/>
          </w:tcPr>
          <w:p>
            <w:pPr>
              <w:spacing w:after="20" w:before="20"/>
              <w:jc w:val="center"/>
            </w:pPr>
            <w:r/>
            <w:r>
              <w:rPr>
                <w:rFonts w:ascii="Times New Roman" w:hAnsi="Times New Roman" w:cs="Times New Roman"/>
                <w:b w:val="0"/>
                <w:i w:val="0"/>
                <w:sz w:val="20"/>
              </w:rPr>
              <w:t>2</w:t>
            </w:r>
          </w:p>
        </w:tc>
        <w:tc>
          <w:tcPr>
            <w:tcW w:type="pct" w:w="450"/>
          </w:tcPr>
          <w:p>
            <w:pPr>
              <w:spacing w:after="20" w:before="20"/>
              <w:jc w:val="center"/>
            </w:pPr>
            <w:r/>
            <w:r>
              <w:rPr>
                <w:rFonts w:ascii="Times New Roman" w:hAnsi="Times New Roman" w:cs="Times New Roman"/>
                <w:b w:val="0"/>
                <w:i w:val="0"/>
                <w:sz w:val="20"/>
              </w:rPr>
              <w:t>3</w:t>
            </w:r>
          </w:p>
        </w:tc>
        <w:tc>
          <w:tcPr>
            <w:tcW w:type="pct" w:w="550"/>
          </w:tcPr>
          <w:p>
            <w:pPr>
              <w:spacing w:after="20" w:before="20"/>
              <w:jc w:val="center"/>
            </w:pPr>
            <w:r/>
            <w:r>
              <w:rPr>
                <w:rFonts w:ascii="Times New Roman" w:hAnsi="Times New Roman" w:cs="Times New Roman"/>
                <w:b w:val="0"/>
                <w:i w:val="0"/>
                <w:sz w:val="20"/>
              </w:rPr>
              <w:t>4</w:t>
            </w:r>
          </w:p>
        </w:tc>
        <w:tc>
          <w:tcPr>
            <w:tcW w:type="pct" w:w="1000"/>
          </w:tcPr>
          <w:p>
            <w:pPr>
              <w:spacing w:after="20" w:before="20"/>
              <w:jc w:val="center"/>
            </w:pPr>
            <w:r/>
            <w:r>
              <w:rPr>
                <w:rFonts w:ascii="Times New Roman" w:hAnsi="Times New Roman" w:cs="Times New Roman"/>
                <w:b w:val="0"/>
                <w:i w:val="0"/>
                <w:sz w:val="20"/>
              </w:rPr>
              <w:t>5</w:t>
            </w:r>
          </w:p>
        </w:tc>
      </w:tr>
      <w:tr>
        <w:tc>
          <w:tcPr>
            <w:tcW w:type="pct" w:w="250"/>
          </w:tcPr>
          <w:p>
            <w:pPr>
              <w:spacing w:after="20" w:before="20"/>
              <w:jc w:val="center"/>
            </w:pPr>
            <w:r/>
            <w:r>
              <w:rPr>
                <w:rFonts w:ascii="Times New Roman" w:hAnsi="Times New Roman" w:cs="Times New Roman"/>
                <w:b w:val="0"/>
                <w:i w:val="0"/>
                <w:sz w:val="20"/>
              </w:rPr>
              <w:t>1.</w:t>
            </w:r>
          </w:p>
        </w:tc>
        <w:tc>
          <w:tcPr>
            <w:tcW w:type="pct" w:w="2750"/>
          </w:tcPr>
          <w:p>
            <w:pPr>
              <w:spacing w:after="20" w:before="20"/>
            </w:pPr>
            <w:r/>
            <w:r>
              <w:rPr>
                <w:rFonts w:ascii="Times New Roman" w:hAnsi="Times New Roman" w:cs="Times New Roman"/>
                <w:b w:val="0"/>
                <w:i w:val="0"/>
                <w:sz w:val="20"/>
              </w:rPr>
              <w:t>Шлюз устьевой ШУ-50-35-550 ТУ У 29.5–40846045–002: 2018 / Wellhead launcher SHU-50-35-550</w:t>
            </w:r>
          </w:p>
        </w:tc>
        <w:tc>
          <w:tcPr>
            <w:tcW w:type="pct" w:w="450"/>
          </w:tcPr>
          <w:p>
            <w:pPr>
              <w:spacing w:after="20" w:before="20"/>
              <w:jc w:val="center"/>
            </w:pPr>
            <w:r/>
            <w:r>
              <w:rPr>
                <w:rFonts w:ascii="Times New Roman" w:hAnsi="Times New Roman" w:cs="Times New Roman"/>
                <w:b w:val="0"/>
                <w:i w:val="0"/>
                <w:sz w:val="20"/>
              </w:rPr>
              <w:t>компл/kit</w:t>
            </w:r>
          </w:p>
        </w:tc>
        <w:tc>
          <w:tcPr>
            <w:tcW w:type="pct" w:w="550"/>
          </w:tcPr>
          <w:p>
            <w:pPr>
              <w:spacing w:after="20" w:before="20"/>
              <w:jc w:val="center"/>
            </w:pPr>
            <w:r/>
            <w:r>
              <w:rPr>
                <w:rFonts w:ascii="Times New Roman" w:hAnsi="Times New Roman" w:cs="Times New Roman"/>
                <w:b w:val="0"/>
                <w:i w:val="0"/>
                <w:sz w:val="20"/>
              </w:rPr>
              <w:t>1</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2.</w:t>
            </w:r>
          </w:p>
        </w:tc>
        <w:tc>
          <w:tcPr>
            <w:tcW w:type="pct" w:w="2750"/>
          </w:tcPr>
          <w:p>
            <w:pPr>
              <w:spacing w:after="20" w:before="20"/>
            </w:pPr>
            <w:r/>
            <w:r>
              <w:rPr>
                <w:rFonts w:ascii="Times New Roman" w:hAnsi="Times New Roman" w:cs="Times New Roman"/>
                <w:b w:val="0"/>
                <w:i w:val="0"/>
                <w:sz w:val="20"/>
              </w:rPr>
              <w:t>Пенообразующий реагент / Foaming reagents</w:t>
            </w:r>
          </w:p>
        </w:tc>
        <w:tc>
          <w:tcPr>
            <w:tcW w:type="pct" w:w="450"/>
          </w:tcPr>
          <w:p>
            <w:pPr>
              <w:spacing w:after="20" w:before="20"/>
              <w:jc w:val="center"/>
            </w:pPr>
            <w:r/>
            <w:r>
              <w:rPr>
                <w:rFonts w:ascii="Times New Roman" w:hAnsi="Times New Roman" w:cs="Times New Roman"/>
                <w:b w:val="0"/>
                <w:i w:val="0"/>
                <w:sz w:val="20"/>
              </w:rPr>
              <w:t>шт/piece</w:t>
            </w:r>
          </w:p>
        </w:tc>
        <w:tc>
          <w:tcPr>
            <w:tcW w:type="pct" w:w="550"/>
          </w:tcPr>
          <w:p>
            <w:pPr>
              <w:spacing w:after="20" w:before="20"/>
              <w:jc w:val="center"/>
            </w:pPr>
            <w:r/>
            <w:r>
              <w:rPr>
                <w:rFonts w:ascii="Times New Roman" w:hAnsi="Times New Roman" w:cs="Times New Roman"/>
                <w:b w:val="0"/>
                <w:i w:val="0"/>
                <w:sz w:val="20"/>
              </w:rPr>
              <w:t>в ас-те</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3.</w:t>
            </w:r>
          </w:p>
        </w:tc>
        <w:tc>
          <w:tcPr>
            <w:tcW w:type="pct" w:w="2750"/>
          </w:tcPr>
          <w:p>
            <w:pPr>
              <w:spacing w:after="20" w:before="20"/>
            </w:pPr>
            <w:r/>
            <w:r>
              <w:rPr>
                <w:rFonts w:ascii="Times New Roman" w:hAnsi="Times New Roman" w:cs="Times New Roman"/>
                <w:b w:val="0"/>
                <w:i w:val="0"/>
                <w:sz w:val="20"/>
              </w:rPr>
              <w:t>Тестовый сепаратор ФГС – 50–10,0/RS / Mobile test separator (MTS)</w:t>
            </w:r>
          </w:p>
        </w:tc>
        <w:tc>
          <w:tcPr>
            <w:tcW w:type="pct" w:w="450"/>
          </w:tcPr>
          <w:p>
            <w:pPr>
              <w:spacing w:after="20" w:before="20"/>
              <w:jc w:val="center"/>
            </w:pPr>
            <w:r/>
            <w:r>
              <w:rPr>
                <w:rFonts w:ascii="Times New Roman" w:hAnsi="Times New Roman" w:cs="Times New Roman"/>
                <w:b w:val="0"/>
                <w:i w:val="0"/>
                <w:sz w:val="20"/>
              </w:rPr>
              <w:t>компл/kit</w:t>
            </w:r>
          </w:p>
        </w:tc>
        <w:tc>
          <w:tcPr>
            <w:tcW w:type="pct" w:w="550"/>
          </w:tcPr>
          <w:p>
            <w:pPr>
              <w:spacing w:after="20" w:before="20"/>
              <w:jc w:val="center"/>
            </w:pPr>
            <w:r/>
            <w:r>
              <w:rPr>
                <w:rFonts w:ascii="Times New Roman" w:hAnsi="Times New Roman" w:cs="Times New Roman"/>
                <w:b w:val="0"/>
                <w:i w:val="0"/>
                <w:sz w:val="20"/>
              </w:rPr>
              <w:t>1</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4.</w:t>
            </w:r>
          </w:p>
        </w:tc>
        <w:tc>
          <w:tcPr>
            <w:tcW w:type="pct" w:w="2750"/>
          </w:tcPr>
          <w:p>
            <w:pPr>
              <w:spacing w:after="20" w:before="20"/>
            </w:pPr>
            <w:r/>
            <w:r>
              <w:rPr>
                <w:rFonts w:ascii="Times New Roman" w:hAnsi="Times New Roman" w:cs="Times New Roman"/>
                <w:b w:val="0"/>
                <w:i w:val="0"/>
                <w:sz w:val="20"/>
              </w:rPr>
              <w:t>Автономные СИ с функцией логирования / Stand-alone measuring instruments with logging function</w:t>
            </w:r>
          </w:p>
        </w:tc>
        <w:tc>
          <w:tcPr>
            <w:tcW w:type="pct" w:w="450"/>
          </w:tcPr>
          <w:p>
            <w:pPr>
              <w:spacing w:after="20" w:before="20"/>
              <w:jc w:val="center"/>
            </w:pPr>
            <w:r/>
            <w:r>
              <w:rPr>
                <w:rFonts w:ascii="Times New Roman" w:hAnsi="Times New Roman" w:cs="Times New Roman"/>
                <w:b w:val="0"/>
                <w:i w:val="0"/>
                <w:sz w:val="20"/>
              </w:rPr>
              <w:t>компл/kit</w:t>
            </w:r>
          </w:p>
        </w:tc>
        <w:tc>
          <w:tcPr>
            <w:tcW w:type="pct" w:w="550"/>
          </w:tcPr>
          <w:p>
            <w:pPr>
              <w:spacing w:after="20" w:before="20"/>
              <w:jc w:val="center"/>
            </w:pPr>
            <w:r/>
            <w:r>
              <w:rPr>
                <w:rFonts w:ascii="Times New Roman" w:hAnsi="Times New Roman" w:cs="Times New Roman"/>
                <w:b w:val="0"/>
                <w:i w:val="0"/>
                <w:sz w:val="20"/>
              </w:rPr>
              <w:t>2</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5.</w:t>
            </w:r>
          </w:p>
        </w:tc>
        <w:tc>
          <w:tcPr>
            <w:tcW w:type="pct" w:w="2750"/>
          </w:tcPr>
          <w:p>
            <w:pPr>
              <w:spacing w:after="20" w:before="20"/>
            </w:pPr>
            <w:r/>
            <w:r>
              <w:rPr>
                <w:rFonts w:ascii="Times New Roman" w:hAnsi="Times New Roman" w:cs="Times New Roman"/>
                <w:b w:val="0"/>
                <w:i w:val="0"/>
                <w:sz w:val="20"/>
              </w:rPr>
              <w:t>Система мониторинга регистрации параметров работы скважины / System for monitoring and recording well operating parameters SMOD</w:t>
            </w:r>
          </w:p>
        </w:tc>
        <w:tc>
          <w:tcPr>
            <w:tcW w:type="pct" w:w="450"/>
          </w:tcPr>
          <w:p>
            <w:pPr>
              <w:spacing w:after="20" w:before="20"/>
              <w:jc w:val="center"/>
            </w:pPr>
            <w:r/>
            <w:r>
              <w:rPr>
                <w:rFonts w:ascii="Times New Roman" w:hAnsi="Times New Roman" w:cs="Times New Roman"/>
                <w:b w:val="0"/>
                <w:i w:val="0"/>
                <w:sz w:val="20"/>
              </w:rPr>
              <w:t>компл/kit</w:t>
            </w:r>
          </w:p>
        </w:tc>
        <w:tc>
          <w:tcPr>
            <w:tcW w:type="pct" w:w="550"/>
          </w:tcPr>
          <w:p>
            <w:pPr>
              <w:spacing w:after="20" w:before="20"/>
              <w:jc w:val="center"/>
            </w:pPr>
            <w:r/>
            <w:r>
              <w:rPr>
                <w:rFonts w:ascii="Times New Roman" w:hAnsi="Times New Roman" w:cs="Times New Roman"/>
                <w:b w:val="0"/>
                <w:i w:val="0"/>
                <w:sz w:val="20"/>
              </w:rPr>
              <w:t>1</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6.</w:t>
            </w:r>
          </w:p>
        </w:tc>
        <w:tc>
          <w:tcPr>
            <w:tcW w:type="pct" w:w="2750"/>
          </w:tcPr>
          <w:p>
            <w:pPr>
              <w:spacing w:after="20" w:before="20"/>
            </w:pPr>
            <w:r/>
            <w:r>
              <w:rPr>
                <w:rFonts w:ascii="Times New Roman" w:hAnsi="Times New Roman" w:cs="Times New Roman"/>
                <w:b w:val="0"/>
                <w:i w:val="0"/>
                <w:sz w:val="20"/>
              </w:rPr>
              <w:t>Емкость для слива отсепарированного скважинного флюида объемом не менее 1 м3 с возможностью подключения дренажной линии к БРС 2" / Tank for drainage of separated well fluid with the volume not less than 1 m3 with the possibility of connecting the drainage line to the 2" quick-release connection.</w:t>
            </w:r>
          </w:p>
        </w:tc>
        <w:tc>
          <w:tcPr>
            <w:tcW w:type="pct" w:w="450"/>
          </w:tcPr>
          <w:p>
            <w:pPr>
              <w:spacing w:after="20" w:before="20"/>
              <w:jc w:val="center"/>
            </w:pPr>
            <w:r/>
            <w:r>
              <w:rPr>
                <w:rFonts w:ascii="Times New Roman" w:hAnsi="Times New Roman" w:cs="Times New Roman"/>
                <w:b w:val="0"/>
                <w:i w:val="0"/>
                <w:sz w:val="20"/>
              </w:rPr>
              <w:t>шт/piece</w:t>
            </w:r>
          </w:p>
        </w:tc>
        <w:tc>
          <w:tcPr>
            <w:tcW w:type="pct" w:w="550"/>
          </w:tcPr>
          <w:p>
            <w:pPr>
              <w:spacing w:after="20" w:before="20"/>
              <w:jc w:val="center"/>
            </w:pPr>
            <w:r/>
            <w:r>
              <w:rPr>
                <w:rFonts w:ascii="Times New Roman" w:hAnsi="Times New Roman" w:cs="Times New Roman"/>
                <w:b w:val="0"/>
                <w:i w:val="0"/>
                <w:sz w:val="20"/>
              </w:rPr>
              <w:t>1</w:t>
            </w:r>
          </w:p>
        </w:tc>
        <w:tc>
          <w:tcPr>
            <w:tcW w:type="pct" w:w="1000"/>
          </w:tcPr>
          <w:p>
            <w:pPr>
              <w:spacing w:after="20" w:before="20"/>
            </w:pPr>
            <w:r/>
            <w:r>
              <w:rPr>
                <w:rFonts w:ascii="Times New Roman" w:hAnsi="Times New Roman" w:cs="Times New Roman"/>
                <w:b w:val="0"/>
                <w:i w:val="0"/>
                <w:sz w:val="20"/>
              </w:rPr>
              <w:t>ООО "UNITOOL"</w:t>
            </w:r>
          </w:p>
        </w:tc>
      </w:tr>
    </w:tbl>
    <w:p>
      <w:pPr>
        <w:spacing w:after="80" w:before="200"/>
      </w:pPr>
      <w:r>
        <w:rPr>
          <w:rFonts w:ascii="Times New Roman" w:hAnsi="Times New Roman" w:cs="Times New Roman"/>
          <w:b/>
          <w:i w:val="0"/>
          <w:sz w:val="24"/>
        </w:rPr>
        <w:t>3 ПОРЯДОК ПРОВЕДЕНИЯ РАБОТ / OPERATING PROCEDURE</w:t>
      </w:r>
    </w:p>
    <w:p>
      <w:pPr>
        <w:keepNext/>
        <w:spacing w:after="40" w:before="120"/>
      </w:pPr>
      <w:r>
        <w:rPr>
          <w:rFonts w:ascii="Times New Roman" w:hAnsi="Times New Roman" w:cs="Times New Roman"/>
          <w:b w:val="0"/>
          <w:i/>
          <w:sz w:val="22"/>
        </w:rPr>
        <w:t>Таблица 3.1: Перечень работ, выполняемых на скважине / List of works performed on the well</w:t>
      </w:r>
    </w:p>
    <w:tbl>
      <w:tblPr>
        <w:tblW w:type="pct" w:w="500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
        <w:gridCol w:w="3750"/>
        <w:gridCol w:w="1000"/>
      </w:tblGrid>
      <w:tr>
        <w:trPr>
          <w:tblHeader/>
        </w:trPr>
        <w:tc>
          <w:tcPr>
            <w:tcW w:type="pct" w:w="250"/>
          </w:tcPr>
          <w:p>
            <w:pPr>
              <w:spacing w:after="20" w:before="20"/>
              <w:jc w:val="center"/>
            </w:pPr>
            <w:r/>
            <w:r>
              <w:rPr>
                <w:rFonts w:ascii="Times New Roman" w:hAnsi="Times New Roman" w:cs="Times New Roman"/>
                <w:b/>
                <w:i w:val="0"/>
                <w:sz w:val="20"/>
              </w:rPr>
              <w:t>№</w:t>
            </w:r>
          </w:p>
        </w:tc>
        <w:tc>
          <w:tcPr>
            <w:tcW w:type="pct" w:w="3750"/>
          </w:tcPr>
          <w:p>
            <w:pPr>
              <w:spacing w:after="20" w:before="20"/>
              <w:jc w:val="center"/>
            </w:pPr>
            <w:r/>
            <w:r>
              <w:rPr>
                <w:rFonts w:ascii="Times New Roman" w:hAnsi="Times New Roman" w:cs="Times New Roman"/>
                <w:b/>
                <w:i w:val="0"/>
                <w:sz w:val="20"/>
              </w:rPr>
              <w:t>Вид работ / Type of work</w:t>
            </w:r>
          </w:p>
        </w:tc>
        <w:tc>
          <w:tcPr>
            <w:tcW w:type="pct" w:w="1000"/>
          </w:tcPr>
          <w:p>
            <w:pPr>
              <w:spacing w:after="20" w:before="20"/>
              <w:jc w:val="center"/>
            </w:pPr>
            <w:r/>
            <w:r>
              <w:rPr>
                <w:rFonts w:ascii="Times New Roman" w:hAnsi="Times New Roman" w:cs="Times New Roman"/>
                <w:b/>
                <w:i w:val="0"/>
                <w:sz w:val="20"/>
              </w:rPr>
              <w:t>Ответственный / Responsibility</w:t>
            </w:r>
          </w:p>
        </w:tc>
      </w:tr>
      <w:tr>
        <w:trPr>
          <w:tblHeader/>
        </w:trPr>
        <w:tc>
          <w:tcPr>
            <w:tcW w:type="pct" w:w="250"/>
          </w:tcPr>
          <w:p>
            <w:pPr>
              <w:spacing w:after="20" w:before="20"/>
              <w:jc w:val="center"/>
            </w:pPr>
            <w:r/>
            <w:r>
              <w:rPr>
                <w:rFonts w:ascii="Times New Roman" w:hAnsi="Times New Roman" w:cs="Times New Roman"/>
                <w:b w:val="0"/>
                <w:i w:val="0"/>
                <w:sz w:val="20"/>
              </w:rPr>
              <w:t>1</w:t>
            </w:r>
          </w:p>
        </w:tc>
        <w:tc>
          <w:tcPr>
            <w:tcW w:type="pct" w:w="3750"/>
          </w:tcPr>
          <w:p>
            <w:pPr>
              <w:spacing w:after="20" w:before="20"/>
              <w:jc w:val="center"/>
            </w:pPr>
            <w:r/>
            <w:r>
              <w:rPr>
                <w:rFonts w:ascii="Times New Roman" w:hAnsi="Times New Roman" w:cs="Times New Roman"/>
                <w:b w:val="0"/>
                <w:i w:val="0"/>
                <w:sz w:val="20"/>
              </w:rPr>
              <w:t>2</w:t>
            </w:r>
          </w:p>
        </w:tc>
        <w:tc>
          <w:tcPr>
            <w:tcW w:type="pct" w:w="1000"/>
          </w:tcPr>
          <w:p>
            <w:pPr>
              <w:spacing w:after="20" w:before="20"/>
              <w:jc w:val="center"/>
            </w:pPr>
            <w:r/>
            <w:r>
              <w:rPr>
                <w:rFonts w:ascii="Times New Roman" w:hAnsi="Times New Roman" w:cs="Times New Roman"/>
                <w:b w:val="0"/>
                <w:i w:val="0"/>
                <w:sz w:val="20"/>
              </w:rPr>
              <w:t>3</w:t>
            </w:r>
          </w:p>
        </w:tc>
      </w:tr>
      <w:tr>
        <w:tc>
          <w:tcPr>
            <w:tcW w:type="pct" w:w="250"/>
            <w:gridSpan w:val="3"/>
          </w:tcPr>
          <w:p>
            <w:pPr>
              <w:spacing w:after="20" w:before="20"/>
            </w:pPr>
            <w:r/>
            <w:r>
              <w:rPr>
                <w:rFonts w:ascii="Times New Roman" w:hAnsi="Times New Roman" w:cs="Times New Roman"/>
                <w:b/>
                <w:i w:val="0"/>
                <w:sz w:val="20"/>
              </w:rPr>
              <w:t>Подготовительные работы. Этап 1 / Preparatory work. Stage 1</w:t>
            </w:r>
          </w:p>
        </w:tc>
      </w:tr>
      <w:tr>
        <w:tc>
          <w:tcPr>
            <w:tcW w:type="pct" w:w="250"/>
          </w:tcPr>
          <w:p>
            <w:pPr>
              <w:spacing w:after="20" w:before="20"/>
              <w:jc w:val="center"/>
            </w:pPr>
            <w:r/>
            <w:r>
              <w:rPr>
                <w:rFonts w:ascii="Times New Roman" w:hAnsi="Times New Roman" w:cs="Times New Roman"/>
                <w:b w:val="0"/>
                <w:i w:val="0"/>
                <w:sz w:val="20"/>
              </w:rPr>
              <w:t>1</w:t>
            </w:r>
          </w:p>
        </w:tc>
        <w:tc>
          <w:tcPr>
            <w:tcW w:type="pct" w:w="3750"/>
          </w:tcPr>
          <w:p>
            <w:pPr>
              <w:spacing w:after="20" w:before="20"/>
            </w:pPr>
            <w:r/>
            <w:r>
              <w:rPr>
                <w:rFonts w:ascii="Times New Roman" w:hAnsi="Times New Roman" w:cs="Times New Roman"/>
                <w:b w:val="0"/>
                <w:i w:val="0"/>
                <w:sz w:val="20"/>
              </w:rPr>
              <w:t>Проведение ЗАКАЗЧИКОМ инструктажа по охране труда и пожарной безопасности согласно нормативным документам Республики Узбекистан. / Conducting a briefing on labor and fire safety protection in accordance with regulatory documents of the Republic of Uzbekistan.</w:t>
            </w:r>
          </w:p>
        </w:tc>
        <w:tc>
          <w:tcPr>
            <w:tcW w:type="pct" w:w="1000"/>
          </w:tcPr>
          <w:p>
            <w:pPr>
              <w:spacing w:after="20" w:before="20"/>
            </w:pPr>
            <w:r/>
            <w:r>
              <w:rPr>
                <w:rFonts w:ascii="Times New Roman" w:hAnsi="Times New Roman" w:cs="Times New Roman"/>
                <w:b w:val="0"/>
                <w:i w:val="0"/>
                <w:sz w:val="20"/>
              </w:rPr>
              <w:t>JV "Uz-Kor Gas Chemical" LLC</w:t>
            </w:r>
          </w:p>
        </w:tc>
      </w:tr>
      <w:tr>
        <w:tc>
          <w:tcPr>
            <w:tcW w:type="pct" w:w="250"/>
          </w:tcPr>
          <w:p>
            <w:pPr>
              <w:spacing w:after="20" w:before="20"/>
              <w:jc w:val="center"/>
            </w:pPr>
            <w:r/>
            <w:r>
              <w:rPr>
                <w:rFonts w:ascii="Times New Roman" w:hAnsi="Times New Roman" w:cs="Times New Roman"/>
                <w:b w:val="0"/>
                <w:i w:val="0"/>
                <w:sz w:val="20"/>
              </w:rPr>
              <w:t>2</w:t>
            </w:r>
          </w:p>
        </w:tc>
        <w:tc>
          <w:tcPr>
            <w:tcW w:type="pct" w:w="3750"/>
          </w:tcPr>
          <w:p>
            <w:pPr>
              <w:spacing w:after="20" w:before="20"/>
            </w:pPr>
            <w:r/>
            <w:r>
              <w:rPr>
                <w:rFonts w:ascii="Times New Roman" w:hAnsi="Times New Roman" w:cs="Times New Roman"/>
                <w:b w:val="0"/>
                <w:i w:val="0"/>
                <w:sz w:val="20"/>
              </w:rPr>
              <w:t>Ознакомление представителей ИСПОЛНИТЕЛЯ с материалами скважины, режимом и параметрами работы скважины. / Familiarization of representatives of the Contractor with Well materials, the mode and parameters of the Well.</w:t>
            </w:r>
          </w:p>
        </w:tc>
        <w:tc>
          <w:tcPr>
            <w:tcW w:type="pct" w:w="1000"/>
          </w:tcPr>
          <w:p>
            <w:pPr>
              <w:spacing w:after="20" w:before="20"/>
            </w:pPr>
            <w:r/>
            <w:r>
              <w:rPr>
                <w:rFonts w:ascii="Times New Roman" w:hAnsi="Times New Roman" w:cs="Times New Roman"/>
                <w:b w:val="0"/>
                <w:i w:val="0"/>
                <w:sz w:val="20"/>
              </w:rPr>
              <w:t>JV "Uz-Kor Gas Chemical" LLC</w:t>
            </w:r>
          </w:p>
        </w:tc>
      </w:tr>
      <w:tr>
        <w:tc>
          <w:tcPr>
            <w:tcW w:type="pct" w:w="250"/>
          </w:tcPr>
          <w:p>
            <w:pPr>
              <w:spacing w:after="20" w:before="20"/>
              <w:jc w:val="center"/>
            </w:pPr>
            <w:r/>
            <w:r>
              <w:rPr>
                <w:rFonts w:ascii="Times New Roman" w:hAnsi="Times New Roman" w:cs="Times New Roman"/>
                <w:b w:val="0"/>
                <w:i w:val="0"/>
                <w:sz w:val="20"/>
              </w:rPr>
              <w:t>3</w:t>
            </w:r>
          </w:p>
        </w:tc>
        <w:tc>
          <w:tcPr>
            <w:tcW w:type="pct" w:w="3750"/>
          </w:tcPr>
          <w:p>
            <w:pPr>
              <w:spacing w:after="20" w:before="20"/>
            </w:pPr>
            <w:r/>
            <w:r>
              <w:rPr>
                <w:rFonts w:ascii="Times New Roman" w:hAnsi="Times New Roman" w:cs="Times New Roman"/>
                <w:b w:val="0"/>
                <w:i w:val="0"/>
                <w:sz w:val="20"/>
              </w:rPr>
              <w:t>Ознакомление представителей ИСПОЛНИТЕЛЯ с устройством системы сбора и подготовки скважинной продукции. / Familiarization of representatives of the contractor with the device of the system of collecting and preparing well products.</w:t>
            </w:r>
          </w:p>
        </w:tc>
        <w:tc>
          <w:tcPr>
            <w:tcW w:type="pct" w:w="1000"/>
          </w:tcPr>
          <w:p>
            <w:pPr>
              <w:spacing w:after="20" w:before="20"/>
            </w:pPr>
            <w:r/>
            <w:r>
              <w:rPr>
                <w:rFonts w:ascii="Times New Roman" w:hAnsi="Times New Roman" w:cs="Times New Roman"/>
                <w:b w:val="0"/>
                <w:i w:val="0"/>
                <w:sz w:val="20"/>
              </w:rPr>
              <w:t>JV "Uz-Kor Gas Chemical" LLC</w:t>
            </w:r>
          </w:p>
        </w:tc>
      </w:tr>
      <w:tr>
        <w:tc>
          <w:tcPr>
            <w:tcW w:type="pct" w:w="250"/>
          </w:tcPr>
          <w:p>
            <w:pPr>
              <w:spacing w:after="20" w:before="20"/>
              <w:jc w:val="center"/>
            </w:pPr>
            <w:r/>
            <w:r>
              <w:rPr>
                <w:rFonts w:ascii="Times New Roman" w:hAnsi="Times New Roman" w:cs="Times New Roman"/>
                <w:b w:val="0"/>
                <w:i w:val="0"/>
                <w:sz w:val="20"/>
              </w:rPr>
              <w:t>4</w:t>
            </w:r>
          </w:p>
        </w:tc>
        <w:tc>
          <w:tcPr>
            <w:tcW w:type="pct" w:w="3750"/>
          </w:tcPr>
          <w:p>
            <w:pPr>
              <w:spacing w:after="20" w:before="20"/>
            </w:pPr>
            <w:r/>
            <w:r>
              <w:rPr>
                <w:rFonts w:ascii="Times New Roman" w:hAnsi="Times New Roman" w:cs="Times New Roman"/>
                <w:b w:val="0"/>
                <w:i w:val="0"/>
                <w:sz w:val="20"/>
              </w:rPr>
              <w:t>Подготовка скважины к проведению технологических операций: установка рабочей площадки для обслуживания скважин согласно требованиям нормативных документов Республики Узбекистан; проверка работоспособности запорной арматуры и герметичности фонтанной арматуры; проверка исправности контрольно-измерительных приборов (манометров) на буфере, затрубном пространстве, за штуцером и на выходе из промыслового коллектора. / Well preparation for technological operations: installation of the Well service site in accordance with the requirements of regulatory documents of the Republic of Uzbekistan; checking the performance of shut-off valves and tightness of fountain reinforcement; checking the serviceability of instrumentation and measuring instruments (pressure gauges) on the buffer, casing space, for Choke and at the exit from the commercial manifold.</w:t>
            </w:r>
          </w:p>
        </w:tc>
        <w:tc>
          <w:tcPr>
            <w:tcW w:type="pct" w:w="1000"/>
          </w:tcPr>
          <w:p>
            <w:pPr>
              <w:spacing w:after="20" w:before="20"/>
            </w:pPr>
            <w:r/>
            <w:r>
              <w:rPr>
                <w:rFonts w:ascii="Times New Roman" w:hAnsi="Times New Roman" w:cs="Times New Roman"/>
                <w:b w:val="0"/>
                <w:i w:val="0"/>
                <w:sz w:val="20"/>
              </w:rPr>
              <w:t>JV "Uz-Kor Gas Chemical" LLC</w:t>
            </w:r>
          </w:p>
        </w:tc>
      </w:tr>
      <w:tr>
        <w:tc>
          <w:tcPr>
            <w:tcW w:type="pct" w:w="250"/>
          </w:tcPr>
          <w:p>
            <w:pPr>
              <w:spacing w:after="20" w:before="20"/>
              <w:jc w:val="center"/>
            </w:pPr>
            <w:r/>
            <w:r>
              <w:rPr>
                <w:rFonts w:ascii="Times New Roman" w:hAnsi="Times New Roman" w:cs="Times New Roman"/>
                <w:b w:val="0"/>
                <w:i w:val="0"/>
                <w:sz w:val="20"/>
              </w:rPr>
              <w:t>5</w:t>
            </w:r>
          </w:p>
        </w:tc>
        <w:tc>
          <w:tcPr>
            <w:tcW w:type="pct" w:w="3750"/>
          </w:tcPr>
          <w:p>
            <w:pPr>
              <w:spacing w:after="20" w:before="20"/>
            </w:pPr>
            <w:r/>
            <w:r>
              <w:rPr>
                <w:rFonts w:ascii="Times New Roman" w:hAnsi="Times New Roman" w:cs="Times New Roman"/>
                <w:b w:val="0"/>
                <w:i w:val="0"/>
                <w:sz w:val="20"/>
              </w:rPr>
              <w:t>Установить на скважину измерительное оборудование / Install measuring equipment on the well</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6</w:t>
            </w:r>
          </w:p>
        </w:tc>
        <w:tc>
          <w:tcPr>
            <w:tcW w:type="pct" w:w="3750"/>
          </w:tcPr>
          <w:p>
            <w:pPr>
              <w:spacing w:after="20" w:before="20"/>
            </w:pPr>
            <w:r/>
            <w:r>
              <w:rPr>
                <w:rFonts w:ascii="Times New Roman" w:hAnsi="Times New Roman" w:cs="Times New Roman"/>
                <w:b w:val="0"/>
                <w:i w:val="0"/>
                <w:sz w:val="20"/>
              </w:rPr>
              <w:t>Осуществить сбор технологических данных перед проведением полевых работ (температура, давление в НКТ, затрубном пространстве, давление в линии за штуцером) не менее 3 циклов. / Collect process data prior to field work (temperature, tubing and annulus pressure, line pressure behind the choke) for at least 3 cycles.</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7</w:t>
            </w:r>
          </w:p>
        </w:tc>
        <w:tc>
          <w:tcPr>
            <w:tcW w:type="pct" w:w="3750"/>
          </w:tcPr>
          <w:p>
            <w:pPr>
              <w:spacing w:after="20" w:before="20"/>
            </w:pPr>
            <w:r/>
            <w:r>
              <w:rPr>
                <w:rFonts w:ascii="Times New Roman" w:hAnsi="Times New Roman" w:cs="Times New Roman"/>
                <w:b w:val="0"/>
                <w:i w:val="0"/>
                <w:sz w:val="20"/>
              </w:rPr>
              <w:t>На основании полученных данных произвести расчет текущего дебита и анализ режимов работы скважины / Based on the obtained data, calculate the current flow rate and analyze the well operation modes</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8</w:t>
            </w:r>
          </w:p>
        </w:tc>
        <w:tc>
          <w:tcPr>
            <w:tcW w:type="pct" w:w="3750"/>
          </w:tcPr>
          <w:p>
            <w:pPr>
              <w:spacing w:after="20" w:before="20"/>
            </w:pPr>
            <w:r/>
            <w:r>
              <w:rPr>
                <w:rFonts w:ascii="Times New Roman" w:hAnsi="Times New Roman" w:cs="Times New Roman"/>
                <w:b w:val="0"/>
                <w:i w:val="0"/>
                <w:sz w:val="20"/>
              </w:rPr>
              <w:t>Произвести оценочный расчет периодичности и дозировки химреагентов с учетом фактических режимов работы скважины, выполнить оценку и прогнозирование ожидаемых результатов от применения технологии оптимизации работы скважины с использованием ТПАВ. / To make an estimation calculation of frequency and dosage of chemical reagents taking into account actual well operation modes, to make an estimation and forecasting of expected results from application of well operation optimization technology with the use of surfactants.</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9</w:t>
            </w:r>
          </w:p>
        </w:tc>
        <w:tc>
          <w:tcPr>
            <w:tcW w:type="pct" w:w="3750"/>
          </w:tcPr>
          <w:p>
            <w:pPr>
              <w:spacing w:after="20" w:before="20"/>
            </w:pPr>
            <w:r/>
            <w:r>
              <w:rPr>
                <w:rFonts w:ascii="Times New Roman" w:hAnsi="Times New Roman" w:cs="Times New Roman"/>
                <w:b w:val="0"/>
                <w:i w:val="0"/>
                <w:sz w:val="20"/>
              </w:rPr>
              <w:t>Согласовать скважину для дальнейшего проведения работ. / Coordinate the well for further work.</w:t>
            </w:r>
          </w:p>
        </w:tc>
        <w:tc>
          <w:tcPr>
            <w:tcW w:type="pct" w:w="1000"/>
          </w:tcPr>
          <w:p>
            <w:pPr>
              <w:spacing w:after="20" w:before="20"/>
            </w:pPr>
            <w:r/>
            <w:r>
              <w:rPr>
                <w:rFonts w:ascii="Times New Roman" w:hAnsi="Times New Roman" w:cs="Times New Roman"/>
                <w:b w:val="0"/>
                <w:i w:val="0"/>
                <w:sz w:val="20"/>
              </w:rPr>
              <w:t>JV "Uz-Kor Gas Chemical" LLC</w:t>
              <w:br/>
            </w:r>
            <w:r>
              <w:rPr>
                <w:rFonts w:ascii="Times New Roman" w:hAnsi="Times New Roman" w:cs="Times New Roman"/>
                <w:b w:val="0"/>
                <w:i w:val="0"/>
                <w:sz w:val="20"/>
              </w:rPr>
              <w:t>ООО "UNITOOL"</w:t>
            </w:r>
          </w:p>
        </w:tc>
      </w:tr>
      <w:tr>
        <w:tc>
          <w:tcPr>
            <w:tcW w:type="pct" w:w="250"/>
            <w:gridSpan w:val="3"/>
          </w:tcPr>
          <w:p>
            <w:pPr>
              <w:spacing w:after="20" w:before="20"/>
            </w:pPr>
            <w:r/>
            <w:r>
              <w:rPr>
                <w:rFonts w:ascii="Times New Roman" w:hAnsi="Times New Roman" w:cs="Times New Roman"/>
                <w:b/>
                <w:i w:val="0"/>
                <w:sz w:val="20"/>
              </w:rPr>
              <w:t>Проведение полевых работ по адаптации технологии к условиям скважины. Этап 2 / Conduct field work to adapt the technology to the well conditions. Stage 2</w:t>
            </w:r>
          </w:p>
        </w:tc>
      </w:tr>
      <w:tr>
        <w:tc>
          <w:tcPr>
            <w:tcW w:type="pct" w:w="250"/>
          </w:tcPr>
          <w:p>
            <w:pPr>
              <w:spacing w:after="20" w:before="20"/>
              <w:jc w:val="center"/>
            </w:pPr>
            <w:r/>
            <w:r>
              <w:rPr>
                <w:rFonts w:ascii="Times New Roman" w:hAnsi="Times New Roman" w:cs="Times New Roman"/>
                <w:b w:val="0"/>
                <w:i w:val="0"/>
                <w:sz w:val="20"/>
              </w:rPr>
              <w:t>10</w:t>
            </w:r>
          </w:p>
        </w:tc>
        <w:tc>
          <w:tcPr>
            <w:tcW w:type="pct" w:w="3750"/>
          </w:tcPr>
          <w:p>
            <w:pPr>
              <w:spacing w:after="20" w:before="20"/>
            </w:pPr>
            <w:r/>
            <w:r>
              <w:rPr>
                <w:rFonts w:ascii="Times New Roman" w:hAnsi="Times New Roman" w:cs="Times New Roman"/>
                <w:b w:val="0"/>
                <w:i w:val="0"/>
                <w:sz w:val="20"/>
              </w:rPr>
              <w:t>Установка Шлюзового устройства ШУ-50-35-550 на буфере скважины и опрессовка его рабочим давлением. / Installation Wellhead Launcher SHU-50-35-550 at the well buffer and testing its working pressure.</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11</w:t>
            </w:r>
          </w:p>
        </w:tc>
        <w:tc>
          <w:tcPr>
            <w:tcW w:type="pct" w:w="3750"/>
          </w:tcPr>
          <w:p>
            <w:pPr>
              <w:spacing w:after="20" w:before="20"/>
            </w:pPr>
            <w:r/>
            <w:r>
              <w:rPr>
                <w:rFonts w:ascii="Times New Roman" w:hAnsi="Times New Roman" w:cs="Times New Roman"/>
                <w:b w:val="0"/>
                <w:i w:val="0"/>
                <w:sz w:val="20"/>
              </w:rPr>
              <w:t>Обеспечить наличие на скважине средств мониторинга и контроля рабочих параметров скважины на НКТ и затрубном пространстве. / Ensure availability of monitoring and control of well operating parameters on tubing and annular space at the well.</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12</w:t>
            </w:r>
          </w:p>
        </w:tc>
        <w:tc>
          <w:tcPr>
            <w:tcW w:type="pct" w:w="3750"/>
          </w:tcPr>
          <w:p>
            <w:pPr>
              <w:spacing w:after="20" w:before="20"/>
            </w:pPr>
            <w:r/>
            <w:r>
              <w:rPr>
                <w:rFonts w:ascii="Times New Roman" w:hAnsi="Times New Roman" w:cs="Times New Roman"/>
                <w:b w:val="0"/>
                <w:i w:val="0"/>
                <w:sz w:val="20"/>
              </w:rPr>
              <w:t>На основании полученных данных со средств мониторинга, произвести предварительный подбор химических реагентов для обеспечения вспенивания и выноса пластового флюида. При необходимости провести отбор проб пластового флюида с помощью тестового сепаратора. / Based on the data received from the monitoring equipment, make a preliminary selection of chemical reagents to ensure foaming and removal of reservoir fluid. If necessary, conduct sampling of reservoir fluid using a test separator.</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13</w:t>
            </w:r>
          </w:p>
        </w:tc>
        <w:tc>
          <w:tcPr>
            <w:tcW w:type="pct" w:w="3750"/>
          </w:tcPr>
          <w:p>
            <w:pPr>
              <w:spacing w:after="20" w:before="20"/>
            </w:pPr>
            <w:r/>
            <w:r>
              <w:rPr>
                <w:rFonts w:ascii="Times New Roman" w:hAnsi="Times New Roman" w:cs="Times New Roman"/>
                <w:b w:val="0"/>
                <w:i w:val="0"/>
                <w:sz w:val="20"/>
              </w:rPr>
              <w:t>Доставка на скважину химреагентов / Delivery to the well of chemical reagents</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14</w:t>
            </w:r>
          </w:p>
        </w:tc>
        <w:tc>
          <w:tcPr>
            <w:tcW w:type="pct" w:w="3750"/>
          </w:tcPr>
          <w:p>
            <w:pPr>
              <w:spacing w:after="20" w:before="20"/>
            </w:pPr>
            <w:r/>
            <w:r>
              <w:rPr>
                <w:rFonts w:ascii="Times New Roman" w:hAnsi="Times New Roman" w:cs="Times New Roman"/>
                <w:b w:val="0"/>
                <w:i w:val="0"/>
                <w:sz w:val="20"/>
              </w:rPr>
              <w:t>Введение расчетной дозы пенообразователя в скважину. / Injection of the calculated dose of the foaming agent in the well.</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15</w:t>
            </w:r>
          </w:p>
        </w:tc>
        <w:tc>
          <w:tcPr>
            <w:tcW w:type="pct" w:w="3750"/>
          </w:tcPr>
          <w:p>
            <w:pPr>
              <w:spacing w:after="20" w:before="20"/>
            </w:pPr>
            <w:r/>
            <w:r>
              <w:rPr>
                <w:rFonts w:ascii="Times New Roman" w:hAnsi="Times New Roman" w:cs="Times New Roman"/>
                <w:b w:val="0"/>
                <w:i w:val="0"/>
                <w:sz w:val="20"/>
              </w:rPr>
              <w:t>Производить наблюдение контрольных параметров работы скважины (дебит газа, давления на буфере, в затрубном пространстве, после штуцера и на выходе из промыслового коллектора). / Monitor well control parameters (gas flow rate, buffer pressure, pressure in the annulus, after the choke and at the outlet from the field manifold).</w:t>
            </w:r>
          </w:p>
        </w:tc>
        <w:tc>
          <w:tcPr>
            <w:tcW w:type="pct" w:w="1000"/>
          </w:tcPr>
          <w:p>
            <w:pPr>
              <w:spacing w:after="20" w:before="20"/>
            </w:pPr>
            <w:r/>
            <w:r>
              <w:rPr>
                <w:rFonts w:ascii="Times New Roman" w:hAnsi="Times New Roman" w:cs="Times New Roman"/>
                <w:b w:val="0"/>
                <w:i w:val="0"/>
                <w:sz w:val="20"/>
              </w:rPr>
              <w:t>JV "Uz-Kor Gas Chemical" LLC</w:t>
              <w:b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16</w:t>
            </w:r>
          </w:p>
        </w:tc>
        <w:tc>
          <w:tcPr>
            <w:tcW w:type="pct" w:w="3750"/>
          </w:tcPr>
          <w:p>
            <w:pPr>
              <w:spacing w:after="20" w:before="20"/>
            </w:pPr>
            <w:r/>
            <w:r>
              <w:rPr>
                <w:rFonts w:ascii="Times New Roman" w:hAnsi="Times New Roman" w:cs="Times New Roman"/>
                <w:b w:val="0"/>
                <w:i w:val="0"/>
                <w:sz w:val="20"/>
              </w:rPr>
              <w:t>При падении трубного давления, установившегося после отработки скважины согласно п. 15, до давления близкого к давлению выкидной линии, произвести равномерное введение шашек пенообразователя в скважину с периодичностью и количеством рассчитанными на основании анализа данных с контрольно-измерительных приборов. / When the pipe pressure, established after working out the well according to p. 15, drops to a pressure close to the pressure of the discharge line, to make a uniform introduction of the foamers into the well with the frequency and quantity calculated on the basis of analyzing the data from the control-measuring devices.</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17</w:t>
            </w:r>
          </w:p>
        </w:tc>
        <w:tc>
          <w:tcPr>
            <w:tcW w:type="pct" w:w="3750"/>
          </w:tcPr>
          <w:p>
            <w:pPr>
              <w:spacing w:after="20" w:before="20"/>
            </w:pPr>
            <w:r/>
            <w:r>
              <w:rPr>
                <w:rFonts w:ascii="Times New Roman" w:hAnsi="Times New Roman" w:cs="Times New Roman"/>
                <w:b w:val="0"/>
                <w:i w:val="0"/>
                <w:sz w:val="20"/>
              </w:rPr>
              <w:t>Снятие контрольных параметров (давления на буфере, в затрубном пространстве, после штуцера и на выходе из промыслового коллектора) не реже трех раз в течение суток. При необходимости провести замер текущего дебита газа и состав флюида. / Measurement of control parameters (pressure at the buffer, in the annulus, after the choke and at the outlet from the field manifold) at least three times per day. If necessary, measure the current gas flow rate and fluid composition.</w:t>
            </w:r>
          </w:p>
        </w:tc>
        <w:tc>
          <w:tcPr>
            <w:tcW w:type="pct" w:w="1000"/>
          </w:tcPr>
          <w:p>
            <w:pPr>
              <w:spacing w:after="20" w:before="20"/>
            </w:pPr>
            <w:r/>
            <w:r>
              <w:rPr>
                <w:rFonts w:ascii="Times New Roman" w:hAnsi="Times New Roman" w:cs="Times New Roman"/>
                <w:b w:val="0"/>
                <w:i w:val="0"/>
                <w:sz w:val="20"/>
              </w:rPr>
              <w:t>JV "Uz-Kor Gas Chemical" LLC</w:t>
              <w:b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18</w:t>
            </w:r>
          </w:p>
        </w:tc>
        <w:tc>
          <w:tcPr>
            <w:tcW w:type="pct" w:w="3750"/>
          </w:tcPr>
          <w:p>
            <w:pPr>
              <w:spacing w:after="20" w:before="20"/>
            </w:pPr>
            <w:r/>
            <w:r>
              <w:rPr>
                <w:rFonts w:ascii="Times New Roman" w:hAnsi="Times New Roman" w:cs="Times New Roman"/>
                <w:b w:val="0"/>
                <w:i w:val="0"/>
                <w:sz w:val="20"/>
              </w:rPr>
              <w:t>По результатам п. 17 проводятся изменения в периодичности и количестве вводимого пенообразователя. / According to the results of p. 17 changes in the frequency and quantity of the introduced blowing agent are carried out.</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19</w:t>
            </w:r>
          </w:p>
        </w:tc>
        <w:tc>
          <w:tcPr>
            <w:tcW w:type="pct" w:w="3750"/>
          </w:tcPr>
          <w:p>
            <w:pPr>
              <w:spacing w:after="20" w:before="20"/>
            </w:pPr>
            <w:r/>
            <w:r>
              <w:rPr>
                <w:rFonts w:ascii="Times New Roman" w:hAnsi="Times New Roman" w:cs="Times New Roman"/>
                <w:b w:val="0"/>
                <w:i w:val="0"/>
                <w:sz w:val="20"/>
              </w:rPr>
              <w:t>Произвести выбор оптимального химреагента, учитывая изменения устьевых параметров скважины после вброса реагента. / Select the optimal chemical reagent, taking into account changes in wellhead parameters after reagent injection.</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20</w:t>
            </w:r>
          </w:p>
        </w:tc>
        <w:tc>
          <w:tcPr>
            <w:tcW w:type="pct" w:w="3750"/>
          </w:tcPr>
          <w:p>
            <w:pPr>
              <w:spacing w:after="20" w:before="20"/>
            </w:pPr>
            <w:r/>
            <w:r>
              <w:rPr>
                <w:rFonts w:ascii="Times New Roman" w:hAnsi="Times New Roman" w:cs="Times New Roman"/>
                <w:b w:val="0"/>
                <w:i w:val="0"/>
                <w:sz w:val="20"/>
              </w:rPr>
              <w:t>После изменения периодичности и количества вводимого пенообразователя проводятся работы согласно п.п. 15–18 до обеспечения оптимальных условий работы скважины. / After changing the periodicity and quantity of the injected blowing agent the works according to p.p. 15-18 are carried out until optimal conditions of well operation are achieved.</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21</w:t>
            </w:r>
          </w:p>
        </w:tc>
        <w:tc>
          <w:tcPr>
            <w:tcW w:type="pct" w:w="3750"/>
          </w:tcPr>
          <w:p>
            <w:pPr>
              <w:spacing w:after="20" w:before="20"/>
            </w:pPr>
            <w:r/>
            <w:r>
              <w:rPr>
                <w:rFonts w:ascii="Times New Roman" w:hAnsi="Times New Roman" w:cs="Times New Roman"/>
                <w:b w:val="0"/>
                <w:i w:val="0"/>
                <w:sz w:val="20"/>
              </w:rPr>
              <w:t>Предоставление ежедневного отчета ЗАКАЗЧИКУ о выполненных работах, с содержанием полной информации о применяемой технике и времени ее работы, количестве и времени применения используемого реагента, сведения о выполненных замерах и их результаты, сведения о персонале, задействованном при выполнении работ. / Submission of a daily report to the CUSTOMER on the work performed, containing full information on the equipment used and its operating time, the amount and time of application of the reagent used, information on the measurements made and their results, information on the personnel involved in the work.</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23</w:t>
            </w:r>
          </w:p>
        </w:tc>
        <w:tc>
          <w:tcPr>
            <w:tcW w:type="pct" w:w="3750"/>
          </w:tcPr>
          <w:p>
            <w:pPr>
              <w:spacing w:after="20" w:before="20"/>
            </w:pPr>
            <w:r/>
            <w:r>
              <w:rPr>
                <w:rFonts w:ascii="Times New Roman" w:hAnsi="Times New Roman" w:cs="Times New Roman"/>
                <w:b w:val="0"/>
                <w:i w:val="0"/>
                <w:sz w:val="20"/>
              </w:rPr>
              <w:t>Предоставить рекомендации по применению дополнительных реагентов для оптимизации работы скважины (ингибиторы коррозии, поглотители сероводорода, растворители солеотложений, деэмульгаторы, депрессаторы и пр.) / Provide recommendations on the use of additional reagents to optimize well performance (corrosion inhibitors, hydrogen sulfide absorbers, salt deposit solvents, demulsifiers, depressants, etc.).</w:t>
            </w:r>
          </w:p>
        </w:tc>
        <w:tc>
          <w:tcPr>
            <w:tcW w:type="pct" w:w="1000"/>
          </w:tcPr>
          <w:p>
            <w:pPr>
              <w:spacing w:after="20" w:before="20"/>
            </w:pPr>
            <w:r/>
            <w:r>
              <w:rPr>
                <w:rFonts w:ascii="Times New Roman" w:hAnsi="Times New Roman" w:cs="Times New Roman"/>
                <w:b w:val="0"/>
                <w:i w:val="0"/>
                <w:sz w:val="20"/>
              </w:rPr>
            </w:r>
          </w:p>
        </w:tc>
      </w:tr>
      <w:tr>
        <w:tc>
          <w:tcPr>
            <w:tcW w:type="pct" w:w="250"/>
          </w:tcPr>
          <w:p>
            <w:pPr>
              <w:spacing w:after="20" w:before="20"/>
              <w:jc w:val="center"/>
            </w:pPr>
            <w:r/>
            <w:r>
              <w:rPr>
                <w:rFonts w:ascii="Times New Roman" w:hAnsi="Times New Roman" w:cs="Times New Roman"/>
                <w:b w:val="0"/>
                <w:i w:val="0"/>
                <w:sz w:val="20"/>
              </w:rPr>
              <w:t>24</w:t>
            </w:r>
          </w:p>
        </w:tc>
        <w:tc>
          <w:tcPr>
            <w:tcW w:type="pct" w:w="3750"/>
          </w:tcPr>
          <w:p>
            <w:pPr>
              <w:spacing w:after="20" w:before="20"/>
            </w:pPr>
            <w:r/>
            <w:r>
              <w:rPr>
                <w:rFonts w:ascii="Times New Roman" w:hAnsi="Times New Roman" w:cs="Times New Roman"/>
                <w:b w:val="0"/>
                <w:i w:val="0"/>
                <w:sz w:val="20"/>
              </w:rPr>
              <w:t>Сбор замечаний ЗАКАЗЧИКА к технологии с целью их устранения при дальнейшем ее использовании. / Collection of the CUSTOMER's comments on the technology in order to eliminate them for future use.</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25</w:t>
            </w:r>
          </w:p>
        </w:tc>
        <w:tc>
          <w:tcPr>
            <w:tcW w:type="pct" w:w="3750"/>
          </w:tcPr>
          <w:p>
            <w:pPr>
              <w:spacing w:after="20" w:before="20"/>
            </w:pPr>
            <w:r/>
            <w:r>
              <w:rPr>
                <w:rFonts w:ascii="Times New Roman" w:hAnsi="Times New Roman" w:cs="Times New Roman"/>
                <w:b w:val="0"/>
                <w:i w:val="0"/>
                <w:sz w:val="20"/>
              </w:rPr>
              <w:t>Провести анализ и оценку экономической целесообразности постоянного дозирования реагента на скважине с учетом выбранных режимов дозирования. / Analyze and evaluate the economic feasibility of constant dosing of the reagent at the well, taking into account the selected modes of dosing.</w:t>
            </w:r>
          </w:p>
        </w:tc>
        <w:tc>
          <w:tcPr>
            <w:tcW w:type="pct" w:w="1000"/>
          </w:tcPr>
          <w:p>
            <w:pPr>
              <w:spacing w:after="20" w:before="20"/>
            </w:pPr>
            <w:r/>
            <w:r>
              <w:rPr>
                <w:rFonts w:ascii="Times New Roman" w:hAnsi="Times New Roman" w:cs="Times New Roman"/>
                <w:b w:val="0"/>
                <w:i w:val="0"/>
                <w:sz w:val="20"/>
              </w:rPr>
            </w:r>
          </w:p>
        </w:tc>
      </w:tr>
      <w:tr>
        <w:tc>
          <w:tcPr>
            <w:tcW w:type="pct" w:w="250"/>
          </w:tcPr>
          <w:p>
            <w:pPr>
              <w:spacing w:after="20" w:before="20"/>
              <w:jc w:val="center"/>
            </w:pPr>
            <w:r/>
            <w:r>
              <w:rPr>
                <w:rFonts w:ascii="Times New Roman" w:hAnsi="Times New Roman" w:cs="Times New Roman"/>
                <w:b w:val="0"/>
                <w:i w:val="0"/>
                <w:sz w:val="20"/>
              </w:rPr>
              <w:t>26</w:t>
            </w:r>
          </w:p>
        </w:tc>
        <w:tc>
          <w:tcPr>
            <w:tcW w:type="pct" w:w="3750"/>
          </w:tcPr>
          <w:p>
            <w:pPr>
              <w:spacing w:after="20" w:before="20"/>
            </w:pPr>
            <w:r/>
            <w:r>
              <w:rPr>
                <w:rFonts w:ascii="Times New Roman" w:hAnsi="Times New Roman" w:cs="Times New Roman"/>
                <w:b w:val="0"/>
                <w:i w:val="0"/>
                <w:sz w:val="20"/>
              </w:rPr>
              <w:t>Согласовать скважину для дальнейшего проведения работ. / Approve continued work on the well.</w:t>
            </w:r>
          </w:p>
        </w:tc>
        <w:tc>
          <w:tcPr>
            <w:tcW w:type="pct" w:w="1000"/>
          </w:tcPr>
          <w:p>
            <w:pPr>
              <w:spacing w:after="20" w:before="20"/>
            </w:pPr>
            <w:r/>
            <w:r>
              <w:rPr>
                <w:rFonts w:ascii="Times New Roman" w:hAnsi="Times New Roman" w:cs="Times New Roman"/>
                <w:b w:val="0"/>
                <w:i w:val="0"/>
                <w:sz w:val="20"/>
              </w:rPr>
              <w:t>JV "Uz-Kor Gas Chemical" LLC</w:t>
              <w:br/>
            </w:r>
            <w:r>
              <w:rPr>
                <w:rFonts w:ascii="Times New Roman" w:hAnsi="Times New Roman" w:cs="Times New Roman"/>
                <w:b w:val="0"/>
                <w:i w:val="0"/>
                <w:sz w:val="20"/>
              </w:rPr>
              <w:t>ООО "UNITOOL"</w:t>
            </w:r>
          </w:p>
        </w:tc>
      </w:tr>
      <w:tr>
        <w:tc>
          <w:tcPr>
            <w:tcW w:type="pct" w:w="250"/>
            <w:gridSpan w:val="3"/>
          </w:tcPr>
          <w:p>
            <w:pPr>
              <w:spacing w:after="20" w:before="20"/>
            </w:pPr>
            <w:r/>
            <w:r>
              <w:rPr>
                <w:rFonts w:ascii="Times New Roman" w:hAnsi="Times New Roman" w:cs="Times New Roman"/>
                <w:b/>
                <w:i w:val="0"/>
                <w:sz w:val="20"/>
              </w:rPr>
              <w:t>Проведение полевых работ для обеспечения стабильной работы скважины. Этап 3 / Conducting field work to ensure well stable operation. Stage 3</w:t>
            </w:r>
          </w:p>
        </w:tc>
      </w:tr>
      <w:tr>
        <w:tc>
          <w:tcPr>
            <w:tcW w:type="pct" w:w="250"/>
          </w:tcPr>
          <w:p>
            <w:pPr>
              <w:spacing w:after="20" w:before="20"/>
              <w:jc w:val="center"/>
            </w:pPr>
            <w:r/>
            <w:r>
              <w:rPr>
                <w:rFonts w:ascii="Times New Roman" w:hAnsi="Times New Roman" w:cs="Times New Roman"/>
                <w:b w:val="0"/>
                <w:i w:val="0"/>
                <w:sz w:val="20"/>
              </w:rPr>
              <w:t>27</w:t>
            </w:r>
          </w:p>
        </w:tc>
        <w:tc>
          <w:tcPr>
            <w:tcW w:type="pct" w:w="3750"/>
          </w:tcPr>
          <w:p>
            <w:pPr>
              <w:spacing w:after="20" w:before="20"/>
            </w:pPr>
            <w:r/>
            <w:r>
              <w:rPr>
                <w:rFonts w:ascii="Times New Roman" w:hAnsi="Times New Roman" w:cs="Times New Roman"/>
                <w:b w:val="0"/>
                <w:i w:val="0"/>
                <w:sz w:val="20"/>
              </w:rPr>
              <w:t>Обеспечить наличие на скважине шлюзового устройства для дозирования реагента, средств мониторинга и контроля рабочих параметров скважины на НКТ, линии и затрубном пространстве / Ensure that there is a Wellhead launcher for reagent dosing, means of monitoring and control of well operating parameters on tubing, line and downhole space</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28</w:t>
            </w:r>
          </w:p>
        </w:tc>
        <w:tc>
          <w:tcPr>
            <w:tcW w:type="pct" w:w="3750"/>
          </w:tcPr>
          <w:p>
            <w:pPr>
              <w:spacing w:after="20" w:before="20"/>
            </w:pPr>
            <w:r/>
            <w:r>
              <w:rPr>
                <w:rFonts w:ascii="Times New Roman" w:hAnsi="Times New Roman" w:cs="Times New Roman"/>
                <w:b w:val="0"/>
                <w:i w:val="0"/>
                <w:sz w:val="20"/>
              </w:rPr>
              <w:t>Обеспечить непрерывный мониторинг и анализ текущих рабочих параметров скважины, с ежеминутной фиксацией и логированием данных, обеспечить возможность синхронизации данных со всех типов измерительных устройств / Provide continuous monitoring and analysis of the current operating parameters of the well, with minute-by-minute recording and logging of data, provide the ability to synchronize data from all types of measuring devices</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29</w:t>
            </w:r>
          </w:p>
        </w:tc>
        <w:tc>
          <w:tcPr>
            <w:tcW w:type="pct" w:w="3750"/>
          </w:tcPr>
          <w:p>
            <w:pPr>
              <w:spacing w:after="20" w:before="20"/>
            </w:pPr>
            <w:r/>
            <w:r>
              <w:rPr>
                <w:rFonts w:ascii="Times New Roman" w:hAnsi="Times New Roman" w:cs="Times New Roman"/>
                <w:b w:val="0"/>
                <w:i w:val="0"/>
                <w:sz w:val="20"/>
              </w:rPr>
              <w:t>Производить вброс пенообразователя, согласно выбранного режима. Контролировать изменения устьевых параметров. Не допускать снижение буферного давления до уровня давления в линии. При необходимости изменить периодичность дозирования. / To inject the blowing agent according to the selected mode. Monitor changes in wellhead parameters. Do not allow the buffer pressure to drop to the line pressure level. If necessary, change the dosing frequency.</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30</w:t>
            </w:r>
          </w:p>
        </w:tc>
        <w:tc>
          <w:tcPr>
            <w:tcW w:type="pct" w:w="3750"/>
          </w:tcPr>
          <w:p>
            <w:pPr>
              <w:spacing w:after="20" w:before="20"/>
            </w:pPr>
            <w:r/>
            <w:r>
              <w:rPr>
                <w:rFonts w:ascii="Times New Roman" w:hAnsi="Times New Roman" w:cs="Times New Roman"/>
                <w:b w:val="0"/>
                <w:i w:val="0"/>
                <w:sz w:val="20"/>
              </w:rPr>
              <w:t>При необходимости провести замер рабочих параметров скважины с помощью мобильного сепаратора с целью определения качества пены, текущих фактических дебитов газа и флюида. Замер произвести на рабочем штуцере скважины в атмосферных условиях, при этом в сепараторе создавая давление сепарации равное шлейфному давлению. / If necessary, measure well operating parameters using a mobile separator to determine the quality of foam, current actual gas and fluid flow rates. Measurement should be performed at the working well connection under atmospheric conditions, while creating a separation pressure equal to the plume pressure in the separator.</w:t>
            </w:r>
          </w:p>
        </w:tc>
        <w:tc>
          <w:tcPr>
            <w:tcW w:type="pct" w:w="1000"/>
          </w:tcPr>
          <w:p>
            <w:pPr>
              <w:spacing w:after="20" w:before="20"/>
            </w:pPr>
            <w:r/>
            <w:r>
              <w:rPr>
                <w:rFonts w:ascii="Times New Roman" w:hAnsi="Times New Roman" w:cs="Times New Roman"/>
                <w:b w:val="0"/>
                <w:i w:val="0"/>
                <w:sz w:val="20"/>
              </w:rPr>
              <w:t>JV "Uz-Kor Gas Chemical" LLC</w:t>
              <w:b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31</w:t>
            </w:r>
          </w:p>
        </w:tc>
        <w:tc>
          <w:tcPr>
            <w:tcW w:type="pct" w:w="3750"/>
          </w:tcPr>
          <w:p>
            <w:pPr>
              <w:spacing w:after="20" w:before="20"/>
            </w:pPr>
            <w:r/>
            <w:r>
              <w:rPr>
                <w:rFonts w:ascii="Times New Roman" w:hAnsi="Times New Roman" w:cs="Times New Roman"/>
                <w:b w:val="0"/>
                <w:i w:val="0"/>
                <w:sz w:val="20"/>
              </w:rPr>
              <w:t>Обеспечить предоставление ежедневной сводки ЗАКАЗЧИКУ о выполненных работах, с содержанием полной информации о применяемой технике и времени ее работы, количестве и времени применения используемого реагента, сведения о выполненных замерах и их результаты, сведения о персонале, задействованном при выполнении работ. / Provide the CUSTOMER with a daily summary of the work performed, containing full information on the equipment used and its operating time, the amount and time of application of the reagent used, information on the measurements made and their results, information on the personnel involved in the execution of the work.</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32</w:t>
            </w:r>
          </w:p>
        </w:tc>
        <w:tc>
          <w:tcPr>
            <w:tcW w:type="pct" w:w="3750"/>
          </w:tcPr>
          <w:p>
            <w:pPr>
              <w:spacing w:after="20" w:before="20"/>
            </w:pPr>
            <w:r/>
            <w:r>
              <w:rPr>
                <w:rFonts w:ascii="Times New Roman" w:hAnsi="Times New Roman" w:cs="Times New Roman"/>
                <w:b w:val="0"/>
                <w:i w:val="0"/>
                <w:sz w:val="20"/>
              </w:rPr>
              <w:t>Обеспечить отображение типа и количества использованных реагентов в суточных сводках. Вести учет использованных реагентов / Ensure that the type and quantity of reagents used are displayed in daily summaries. Maintain records of reagents used</w:t>
            </w:r>
          </w:p>
        </w:tc>
        <w:tc>
          <w:tcPr>
            <w:tcW w:type="pct" w:w="1000"/>
          </w:tcPr>
          <w:p>
            <w:pPr>
              <w:spacing w:after="20" w:before="20"/>
            </w:pP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33</w:t>
            </w:r>
          </w:p>
        </w:tc>
        <w:tc>
          <w:tcPr>
            <w:tcW w:type="pct" w:w="3750"/>
          </w:tcPr>
          <w:p>
            <w:pPr>
              <w:spacing w:after="20" w:before="20"/>
            </w:pPr>
            <w:r/>
            <w:r>
              <w:rPr>
                <w:rFonts w:ascii="Times New Roman" w:hAnsi="Times New Roman" w:cs="Times New Roman"/>
                <w:b w:val="0"/>
                <w:i w:val="0"/>
                <w:sz w:val="20"/>
              </w:rPr>
              <w:t>В конце отчетного периода предоставить Акт использованных реагентов / At the end of the reporting period, provide the Statement of used reagents</w:t>
            </w:r>
          </w:p>
        </w:tc>
        <w:tc>
          <w:tcPr>
            <w:tcW w:type="pct" w:w="1000"/>
          </w:tcPr>
          <w:p>
            <w:pPr>
              <w:spacing w:after="20" w:before="20"/>
            </w:pPr>
            <w:r/>
            <w:r>
              <w:rPr>
                <w:rFonts w:ascii="Times New Roman" w:hAnsi="Times New Roman" w:cs="Times New Roman"/>
                <w:b w:val="0"/>
                <w:i w:val="0"/>
                <w:sz w:val="20"/>
              </w:rPr>
              <w:t>JV "Uz-Kor Gas Chemical" LLC</w:t>
              <w:br/>
            </w:r>
            <w:r>
              <w:rPr>
                <w:rFonts w:ascii="Times New Roman" w:hAnsi="Times New Roman" w:cs="Times New Roman"/>
                <w:b w:val="0"/>
                <w:i w:val="0"/>
                <w:sz w:val="20"/>
              </w:rPr>
              <w:t>ООО "UNITOOL"</w:t>
            </w:r>
          </w:p>
        </w:tc>
      </w:tr>
      <w:tr>
        <w:tc>
          <w:tcPr>
            <w:tcW w:type="pct" w:w="250"/>
          </w:tcPr>
          <w:p>
            <w:pPr>
              <w:spacing w:after="20" w:before="20"/>
              <w:jc w:val="center"/>
            </w:pPr>
            <w:r/>
            <w:r>
              <w:rPr>
                <w:rFonts w:ascii="Times New Roman" w:hAnsi="Times New Roman" w:cs="Times New Roman"/>
                <w:b w:val="0"/>
                <w:i w:val="0"/>
                <w:sz w:val="20"/>
              </w:rPr>
              <w:t>34</w:t>
            </w:r>
          </w:p>
        </w:tc>
        <w:tc>
          <w:tcPr>
            <w:tcW w:type="pct" w:w="3750"/>
          </w:tcPr>
          <w:p>
            <w:pPr>
              <w:spacing w:after="20" w:before="20"/>
            </w:pPr>
            <w:r/>
            <w:r>
              <w:rPr>
                <w:rFonts w:ascii="Times New Roman" w:hAnsi="Times New Roman" w:cs="Times New Roman"/>
                <w:b w:val="0"/>
                <w:i w:val="0"/>
                <w:sz w:val="20"/>
              </w:rPr>
              <w:t>В конце отчетного периода согласовать продолжение работ на следующий отчетный период / At the end of the reporting period, agree on the continuation of work for the next reporting period</w:t>
            </w:r>
          </w:p>
        </w:tc>
        <w:tc>
          <w:tcPr>
            <w:tcW w:type="pct" w:w="1000"/>
          </w:tcPr>
          <w:p>
            <w:pPr>
              <w:spacing w:after="20" w:before="20"/>
            </w:pPr>
            <w:r/>
            <w:r>
              <w:rPr>
                <w:rFonts w:ascii="Times New Roman" w:hAnsi="Times New Roman" w:cs="Times New Roman"/>
                <w:b w:val="0"/>
                <w:i w:val="0"/>
                <w:sz w:val="20"/>
              </w:rPr>
              <w:t>JV "Uz-Kor Gas Chemical" LLC</w:t>
              <w:br/>
            </w:r>
            <w:r>
              <w:rPr>
                <w:rFonts w:ascii="Times New Roman" w:hAnsi="Times New Roman" w:cs="Times New Roman"/>
                <w:b w:val="0"/>
                <w:i w:val="0"/>
                <w:sz w:val="20"/>
              </w:rPr>
              <w:t>ООО "UNITOOL"</w:t>
            </w:r>
          </w:p>
        </w:tc>
      </w:tr>
    </w:tbl>
    <w:p>
      <w:pPr>
        <w:spacing w:after="80" w:before="200"/>
      </w:pPr>
      <w:r>
        <w:rPr>
          <w:rFonts w:ascii="Times New Roman" w:hAnsi="Times New Roman" w:cs="Times New Roman"/>
          <w:b/>
          <w:i w:val="0"/>
          <w:sz w:val="24"/>
        </w:rPr>
        <w:t>4 МЕРОПРИЯТИЯ ПО БЕЗОПАСНОМУ ВЕДЕНИЮ РАБОТ / SAFETY MEASURES</w:t>
      </w:r>
    </w:p>
    <w:p>
      <w:pPr>
        <w:spacing w:after="80" w:before="0"/>
        <w:jc w:val="both"/>
      </w:pPr>
      <w:r>
        <w:rPr>
          <w:rFonts w:ascii="Times New Roman" w:hAnsi="Times New Roman" w:cs="Times New Roman"/>
          <w:b w:val="0"/>
          <w:i w:val="0"/>
          <w:sz w:val="22"/>
        </w:rPr>
        <w:t>При разработке месторождений, на которых намечается реализация технологии физико-химического воздействия, для обеспечения безопасности населения необходимо руководствоваться действующими законами, постановлениями и положениями, Правилами безопасности в нефтяной и газовой промышленности. / During the development of fields, where it is planned to implement the technology of physical-chemical impact to ensure the safety of the population must be guided by applicable laws, decrees and regulations, Safety Rules in the oil and gas industry.</w:t>
      </w:r>
    </w:p>
    <w:p>
      <w:pPr>
        <w:spacing w:after="60" w:before="120"/>
      </w:pPr>
      <w:r>
        <w:rPr>
          <w:rFonts w:ascii="Times New Roman" w:hAnsi="Times New Roman" w:cs="Times New Roman"/>
          <w:b/>
          <w:i w:val="0"/>
          <w:sz w:val="22"/>
        </w:rPr>
        <w:t>4.1 Меры безопасности при работе / Safety precautions at work</w:t>
      </w:r>
    </w:p>
    <w:p>
      <w:pPr>
        <w:spacing w:after="80" w:before="0"/>
        <w:jc w:val="both"/>
      </w:pPr>
      <w:r>
        <w:rPr>
          <w:rFonts w:ascii="Times New Roman" w:hAnsi="Times New Roman" w:cs="Times New Roman"/>
          <w:b w:val="0"/>
          <w:i w:val="0"/>
          <w:sz w:val="22"/>
        </w:rPr>
        <w:t>4.1.1 В процессе проведения работ соблюдать требования действующего законодательства, иных нормативно-правовых актов и нормативных документов Республики Узбекистан в области промышленной безопасности и охраны труда. / In the course of work, comply with the requirements of the current legislation, other regulatory legal acts and regulatory documents of the Republic of Uzbekistan in the field of industrial safety and labor protection.</w:t>
      </w:r>
    </w:p>
    <w:p>
      <w:pPr>
        <w:spacing w:after="80" w:before="0"/>
        <w:jc w:val="both"/>
      </w:pPr>
      <w:r>
        <w:rPr>
          <w:rFonts w:ascii="Times New Roman" w:hAnsi="Times New Roman" w:cs="Times New Roman"/>
          <w:b w:val="0"/>
          <w:i w:val="0"/>
          <w:sz w:val="22"/>
        </w:rPr>
        <w:t>4.1.2 Персонал, привлекаемый для выполнения данных работ, должен быть обучен на курсах по вопросам промышленной безопасности и охране труда и при выполнении работ на месторождении Сургил должен при себе иметь удостоверение единого образца, установленного уполномоченным органом в области промышленной безопасности. / Personnel engaged for this work shall be trained at the courses on industrial safety and labor protection issues and when performing works at the Surgil field shall have a certificate of a single sample established by the authorized body in the field of industrial safety.</w:t>
      </w:r>
    </w:p>
    <w:p>
      <w:pPr>
        <w:spacing w:after="80" w:before="0"/>
        <w:jc w:val="both"/>
      </w:pPr>
      <w:r>
        <w:rPr>
          <w:rFonts w:ascii="Times New Roman" w:hAnsi="Times New Roman" w:cs="Times New Roman"/>
          <w:b w:val="0"/>
          <w:i w:val="0"/>
          <w:sz w:val="22"/>
        </w:rPr>
        <w:t>4.1.3 Все применяемые реагенты не токсичны, пожаро- и взрывобезопасны. / All reagents used are non-toxic, fire and explosion safe.</w:t>
      </w:r>
    </w:p>
    <w:p>
      <w:pPr>
        <w:spacing w:after="80" w:before="0"/>
        <w:jc w:val="both"/>
      </w:pPr>
      <w:r>
        <w:rPr>
          <w:rFonts w:ascii="Times New Roman" w:hAnsi="Times New Roman" w:cs="Times New Roman"/>
          <w:b w:val="0"/>
          <w:i w:val="0"/>
          <w:sz w:val="22"/>
        </w:rPr>
        <w:t>4.1.4 Категорически запрещается использовать реагенты для нужд, не связанных с их прямой целью. / It is strictly forbidden to use reagents for purposes other than their direct purpose.</w:t>
      </w:r>
    </w:p>
    <w:p>
      <w:pPr>
        <w:spacing w:after="80" w:before="0"/>
        <w:jc w:val="both"/>
      </w:pPr>
      <w:r>
        <w:rPr>
          <w:rFonts w:ascii="Times New Roman" w:hAnsi="Times New Roman" w:cs="Times New Roman"/>
          <w:b w:val="0"/>
          <w:i w:val="0"/>
          <w:sz w:val="22"/>
        </w:rPr>
        <w:t>4.1.5 При появлении признаков отравления (головной боли, головокружения, тошноты, рвоты, потери аппетита), следует обратиться к врачу и сообщить руководителю работ. / In case of signs of poisoning (headache, dizziness, nausea, vomiting, loss of appetite), consult a doctor and inform the work manager.</w:t>
      </w:r>
    </w:p>
    <w:p>
      <w:pPr>
        <w:spacing w:after="60" w:before="120"/>
      </w:pPr>
      <w:r>
        <w:rPr>
          <w:rFonts w:ascii="Times New Roman" w:hAnsi="Times New Roman" w:cs="Times New Roman"/>
          <w:b/>
          <w:i w:val="0"/>
          <w:sz w:val="22"/>
        </w:rPr>
        <w:t>4.2 Охрана окружающей среды / Environmental protection</w:t>
      </w:r>
    </w:p>
    <w:p>
      <w:pPr>
        <w:spacing w:after="80" w:before="0"/>
        <w:jc w:val="both"/>
      </w:pPr>
      <w:r>
        <w:rPr>
          <w:rFonts w:ascii="Times New Roman" w:hAnsi="Times New Roman" w:cs="Times New Roman"/>
          <w:b w:val="0"/>
          <w:i w:val="0"/>
          <w:sz w:val="22"/>
        </w:rPr>
        <w:t>4.2.1 После выполнения работ необходимо / After the work is done, it is necessary to:</w:t>
      </w:r>
    </w:p>
    <w:p>
      <w:pPr>
        <w:spacing w:after="60" w:before="0"/>
        <w:ind w:left="454"/>
        <w:jc w:val="both"/>
      </w:pPr>
      <w:r>
        <w:rPr>
          <w:rFonts w:ascii="Times New Roman" w:hAnsi="Times New Roman" w:cs="Times New Roman"/>
          <w:b w:val="0"/>
          <w:i w:val="0"/>
          <w:sz w:val="22"/>
        </w:rPr>
        <w:t>•  Принимать все меры безопасности, необходимые для защиты окружающей среды, оберегая окружающий воздух, поверхностные и подземные воды, почвы и грунты, недра, животный и растительный мир от неблагоприятных воздействий, вызванных действиями, и сводя к минимуму ущерб, который может повлечь за собой подобные действия. / Take all safety measures necessary to protect the environment by protecting the surrounding air, surface and underground water, soils and subsoil, fauna and flora from adverse effects caused by the activities and minimizing the damage that may result from such activities.</w:t>
      </w:r>
    </w:p>
    <w:p>
      <w:pPr>
        <w:spacing w:after="60" w:before="0"/>
        <w:ind w:left="454"/>
        <w:jc w:val="both"/>
      </w:pPr>
      <w:r>
        <w:rPr>
          <w:rFonts w:ascii="Times New Roman" w:hAnsi="Times New Roman" w:cs="Times New Roman"/>
          <w:b w:val="0"/>
          <w:i w:val="0"/>
          <w:sz w:val="22"/>
        </w:rPr>
        <w:t>•  Обеспечить своевременный вывоз и утилизацию коммунальных и производственных отходов. / Ensure that municipal and industrial waste is removed and disposed of in a timely manner.</w:t>
      </w:r>
    </w:p>
    <w:p>
      <w:pPr>
        <w:spacing w:after="60" w:before="0"/>
        <w:ind w:left="454"/>
        <w:jc w:val="both"/>
      </w:pPr>
      <w:r>
        <w:rPr>
          <w:rFonts w:ascii="Times New Roman" w:hAnsi="Times New Roman" w:cs="Times New Roman"/>
          <w:b w:val="0"/>
          <w:i w:val="0"/>
          <w:sz w:val="22"/>
        </w:rPr>
        <w:t>•  Обеспечить очистку устьевого оборудования, шахты, рекультивацию площадки, планировку и сдачу Заказчику по акту. / Ensure cleaning of wellhead equipment, shaft, site reclamation, layout and handover to the Customer under the act.</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