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0C492" w14:textId="77777777" w:rsidR="000F3761" w:rsidRDefault="00AB3A62">
      <w:pPr>
        <w:widowControl/>
        <w:spacing w:line="480" w:lineRule="auto"/>
        <w:jc w:val="center"/>
        <w:rPr>
          <w:rFonts w:ascii="Times New Roman" w:eastAsia="宋体" w:hAnsi="Times New Roman" w:cs="Times New Roman"/>
          <w:b/>
          <w:bCs/>
          <w:color w:val="000000" w:themeColor="text1"/>
          <w:sz w:val="28"/>
          <w:szCs w:val="28"/>
        </w:rPr>
      </w:pPr>
      <w:r>
        <w:rPr>
          <w:rFonts w:ascii="Times New Roman" w:eastAsia="宋体" w:hAnsi="Times New Roman" w:cs="Times New Roman"/>
          <w:b/>
          <w:bCs/>
          <w:color w:val="000000" w:themeColor="text1"/>
          <w:sz w:val="28"/>
          <w:szCs w:val="28"/>
        </w:rPr>
        <w:t>Advancing PFAS Biodegradation Prediction: Integrating Large Language Models with Environmental Cheminformatics</w:t>
      </w:r>
    </w:p>
    <w:p w14:paraId="79A211A4" w14:textId="77777777" w:rsidR="000F3761" w:rsidRDefault="000F3761">
      <w:pPr>
        <w:widowControl/>
        <w:spacing w:line="480" w:lineRule="auto"/>
        <w:rPr>
          <w:rFonts w:ascii="Times New Roman" w:eastAsia="宋体" w:hAnsi="Times New Roman" w:cs="Times New Roman"/>
          <w:b/>
          <w:bCs/>
          <w:color w:val="000000" w:themeColor="text1"/>
          <w:sz w:val="28"/>
          <w:szCs w:val="28"/>
        </w:rPr>
      </w:pPr>
    </w:p>
    <w:p w14:paraId="598BC37A" w14:textId="77777777" w:rsidR="000F3761" w:rsidRDefault="00AB3A62">
      <w:pPr>
        <w:widowControl/>
        <w:spacing w:line="480" w:lineRule="auto"/>
        <w:jc w:val="center"/>
        <w:rPr>
          <w:rFonts w:ascii="Times New Roman" w:eastAsia="宋体" w:hAnsi="Times New Roman" w:cs="Times New Roman"/>
          <w:i/>
          <w:sz w:val="24"/>
          <w:szCs w:val="24"/>
          <w:vertAlign w:val="superscript"/>
          <w:lang w:val="de-DE"/>
        </w:rPr>
      </w:pPr>
      <w:r>
        <w:rPr>
          <w:rFonts w:ascii="Times New Roman" w:eastAsia="宋体" w:hAnsi="Times New Roman" w:cs="Times New Roman"/>
          <w:sz w:val="24"/>
          <w:szCs w:val="24"/>
          <w:lang w:val="de-DE"/>
        </w:rPr>
        <w:t>Wufan D</w:t>
      </w:r>
      <w:r>
        <w:rPr>
          <w:rFonts w:ascii="Times New Roman" w:eastAsia="宋体" w:hAnsi="Times New Roman" w:cs="Times New Roman"/>
          <w:sz w:val="24"/>
          <w:szCs w:val="24"/>
          <w:lang w:val="de-DE" w:eastAsia="zh-Hans"/>
        </w:rPr>
        <w:t>ing</w:t>
      </w:r>
      <w:r>
        <w:rPr>
          <w:rFonts w:ascii="Times New Roman" w:eastAsia="宋体" w:hAnsi="Times New Roman" w:cs="Times New Roman" w:hint="eastAsia"/>
          <w:sz w:val="24"/>
          <w:szCs w:val="24"/>
          <w:vertAlign w:val="superscript"/>
          <w:lang w:val="de-DE"/>
        </w:rPr>
        <w:t>†</w:t>
      </w:r>
      <w:r>
        <w:rPr>
          <w:rFonts w:ascii="Times New Roman" w:eastAsia="宋体" w:hAnsi="Times New Roman" w:cs="Times New Roman"/>
          <w:sz w:val="24"/>
          <w:szCs w:val="24"/>
          <w:lang w:val="de-DE"/>
        </w:rPr>
        <w:t>, A</w:t>
      </w:r>
      <w:r>
        <w:rPr>
          <w:rFonts w:ascii="Times New Roman" w:eastAsia="宋体" w:hAnsi="Times New Roman" w:cs="Times New Roman" w:hint="eastAsia"/>
          <w:sz w:val="24"/>
          <w:szCs w:val="24"/>
          <w:lang w:val="de-DE"/>
        </w:rPr>
        <w:t xml:space="preserve">ofan </w:t>
      </w:r>
      <w:r>
        <w:rPr>
          <w:rFonts w:ascii="Times New Roman" w:eastAsia="宋体" w:hAnsi="Times New Roman" w:cs="Times New Roman"/>
          <w:sz w:val="24"/>
          <w:szCs w:val="24"/>
          <w:lang w:val="de-DE"/>
        </w:rPr>
        <w:t>L</w:t>
      </w:r>
      <w:r>
        <w:rPr>
          <w:rFonts w:ascii="Times New Roman" w:eastAsia="宋体" w:hAnsi="Times New Roman" w:cs="Times New Roman" w:hint="eastAsia"/>
          <w:sz w:val="24"/>
          <w:szCs w:val="24"/>
          <w:lang w:val="de-DE"/>
        </w:rPr>
        <w:t>iu</w:t>
      </w:r>
      <w:r>
        <w:rPr>
          <w:rFonts w:ascii="Times New Roman" w:eastAsia="宋体" w:hAnsi="Times New Roman" w:cs="Times New Roman" w:hint="eastAsia"/>
          <w:sz w:val="24"/>
          <w:szCs w:val="24"/>
          <w:vertAlign w:val="superscript"/>
          <w:lang w:val="de-DE" w:eastAsia="zh-Hans"/>
        </w:rPr>
        <w:t>†</w:t>
      </w:r>
      <w:r>
        <w:rPr>
          <w:rFonts w:ascii="Times New Roman" w:eastAsia="宋体" w:hAnsi="Times New Roman" w:cs="Times New Roman"/>
          <w:sz w:val="24"/>
          <w:szCs w:val="24"/>
          <w:lang w:val="de-DE"/>
        </w:rPr>
        <w:t>Zhengkai Chen</w:t>
      </w:r>
      <w:r>
        <w:rPr>
          <w:rFonts w:ascii="Times New Roman" w:eastAsia="宋体" w:hAnsi="Times New Roman" w:cs="Times New Roman" w:hint="eastAsia"/>
          <w:sz w:val="24"/>
          <w:szCs w:val="24"/>
          <w:vertAlign w:val="superscript"/>
          <w:lang w:val="de-DE" w:eastAsia="zh-Hans"/>
        </w:rPr>
        <w:t>†</w:t>
      </w:r>
      <w:r>
        <w:rPr>
          <w:rFonts w:ascii="Times New Roman" w:eastAsia="宋体" w:hAnsi="Times New Roman" w:cs="Times New Roman"/>
          <w:sz w:val="24"/>
          <w:szCs w:val="24"/>
          <w:lang w:val="de-DE"/>
        </w:rPr>
        <w:t>, Haodong Ji</w:t>
      </w:r>
      <w:r>
        <w:rPr>
          <w:rFonts w:ascii="Times New Roman" w:eastAsia="宋体" w:hAnsi="Times New Roman" w:cs="Times New Roman" w:hint="eastAsia"/>
          <w:sz w:val="24"/>
          <w:szCs w:val="24"/>
          <w:vertAlign w:val="superscript"/>
          <w:lang w:val="de-DE"/>
        </w:rPr>
        <w:t>†</w:t>
      </w:r>
      <w:r>
        <w:rPr>
          <w:rFonts w:ascii="Times New Roman" w:eastAsia="宋体" w:hAnsi="Times New Roman" w:cs="Times New Roman"/>
          <w:sz w:val="24"/>
          <w:szCs w:val="24"/>
          <w:vertAlign w:val="superscript"/>
          <w:lang w:val="de-DE"/>
        </w:rPr>
        <w:t>,*</w:t>
      </w:r>
    </w:p>
    <w:p w14:paraId="61D705BF" w14:textId="77777777" w:rsidR="000F3761" w:rsidRDefault="00AB3A62">
      <w:pPr>
        <w:spacing w:line="480" w:lineRule="auto"/>
        <w:rPr>
          <w:rFonts w:ascii="Times New Roman" w:hAnsi="Times New Roman" w:cs="Times New Roman"/>
          <w:iCs/>
          <w:color w:val="000000" w:themeColor="text1"/>
          <w:sz w:val="24"/>
          <w:szCs w:val="24"/>
        </w:rPr>
      </w:pPr>
      <w:r>
        <w:rPr>
          <w:rFonts w:ascii="Times New Roman" w:eastAsia="宋体" w:hAnsi="Times New Roman" w:cs="Times New Roman"/>
          <w:bCs/>
          <w:sz w:val="24"/>
          <w:szCs w:val="28"/>
          <w:vertAlign w:val="superscript"/>
        </w:rPr>
        <w:t>†</w:t>
      </w:r>
      <w:r>
        <w:rPr>
          <w:rFonts w:ascii="Times New Roman" w:hAnsi="Times New Roman" w:cs="Times New Roman"/>
          <w:iCs/>
          <w:color w:val="000000" w:themeColor="text1"/>
          <w:sz w:val="24"/>
          <w:szCs w:val="24"/>
        </w:rPr>
        <w:t xml:space="preserve">Eco-environment and Resource Efficiency Research Laboratory, </w:t>
      </w:r>
      <w:r>
        <w:rPr>
          <w:rFonts w:ascii="Times New Roman" w:hAnsi="Times New Roman" w:cs="Times New Roman" w:hint="eastAsia"/>
          <w:iCs/>
          <w:color w:val="000000" w:themeColor="text1"/>
          <w:sz w:val="24"/>
          <w:szCs w:val="24"/>
        </w:rPr>
        <w:t>S</w:t>
      </w:r>
      <w:r>
        <w:rPr>
          <w:rFonts w:ascii="Times New Roman" w:hAnsi="Times New Roman" w:cs="Times New Roman"/>
          <w:iCs/>
          <w:color w:val="000000" w:themeColor="text1"/>
          <w:sz w:val="24"/>
          <w:szCs w:val="24"/>
        </w:rPr>
        <w:t>chool of Environment and Energy, Peking University Shenzhen Graduate School, Shenzhen 518055, PR China</w:t>
      </w:r>
    </w:p>
    <w:p w14:paraId="110455D8" w14:textId="77777777" w:rsidR="000F3761" w:rsidRDefault="000F3761">
      <w:pPr>
        <w:adjustRightInd w:val="0"/>
        <w:snapToGrid w:val="0"/>
        <w:spacing w:line="480" w:lineRule="auto"/>
        <w:rPr>
          <w:rFonts w:ascii="Times New Roman" w:hAnsi="Times New Roman" w:cs="Times New Roman"/>
          <w:sz w:val="24"/>
          <w:szCs w:val="21"/>
        </w:rPr>
      </w:pPr>
    </w:p>
    <w:p w14:paraId="6E5DF0B2" w14:textId="77777777" w:rsidR="000F3761" w:rsidRDefault="00AB3A62">
      <w:pPr>
        <w:adjustRightInd w:val="0"/>
        <w:snapToGrid w:val="0"/>
        <w:spacing w:line="480" w:lineRule="auto"/>
        <w:rPr>
          <w:rFonts w:ascii="Times New Roman" w:hAnsi="Times New Roman" w:cs="Times New Roman"/>
          <w:sz w:val="24"/>
          <w:szCs w:val="21"/>
        </w:rPr>
      </w:pPr>
      <w:r>
        <w:rPr>
          <w:rFonts w:ascii="Times New Roman" w:hAnsi="Times New Roman" w:cs="Times New Roman" w:hint="eastAsia"/>
          <w:sz w:val="24"/>
          <w:szCs w:val="21"/>
        </w:rPr>
        <w:t>、</w:t>
      </w:r>
      <w:r>
        <w:rPr>
          <w:rFonts w:ascii="Times New Roman" w:hAnsi="Times New Roman" w:cs="Times New Roman" w:hint="eastAsia"/>
          <w:sz w:val="24"/>
          <w:szCs w:val="21"/>
        </w:rPr>
        <w:t>结论：</w:t>
      </w:r>
    </w:p>
    <w:p w14:paraId="24E7C378" w14:textId="77777777" w:rsidR="000F3761" w:rsidRDefault="00AB3A62">
      <w:pPr>
        <w:pStyle w:val="af5"/>
        <w:numPr>
          <w:ilvl w:val="0"/>
          <w:numId w:val="1"/>
        </w:numPr>
        <w:adjustRightInd w:val="0"/>
        <w:snapToGrid w:val="0"/>
        <w:spacing w:line="480" w:lineRule="auto"/>
        <w:rPr>
          <w:rFonts w:ascii="Times New Roman" w:hAnsi="Times New Roman" w:cs="Times New Roman"/>
          <w:sz w:val="24"/>
          <w:szCs w:val="21"/>
        </w:rPr>
      </w:pPr>
      <w:r>
        <w:rPr>
          <w:rFonts w:ascii="Times New Roman" w:hAnsi="Times New Roman" w:cs="Times New Roman" w:hint="eastAsia"/>
          <w:sz w:val="24"/>
          <w:szCs w:val="21"/>
        </w:rPr>
        <w:t>低数据或零数据的情况下，大模型好，</w:t>
      </w:r>
      <w:r>
        <w:rPr>
          <w:rFonts w:ascii="Times New Roman" w:hAnsi="Times New Roman" w:cs="Times New Roman" w:hint="eastAsia"/>
          <w:sz w:val="24"/>
          <w:szCs w:val="21"/>
        </w:rPr>
        <w:t>RMSE</w:t>
      </w:r>
      <w:r>
        <w:rPr>
          <w:rFonts w:ascii="Times New Roman" w:hAnsi="Times New Roman" w:cs="Times New Roman" w:hint="eastAsia"/>
          <w:sz w:val="24"/>
          <w:szCs w:val="21"/>
        </w:rPr>
        <w:t>，</w:t>
      </w:r>
      <w:r>
        <w:rPr>
          <w:rFonts w:ascii="Times New Roman" w:hAnsi="Times New Roman" w:cs="Times New Roman" w:hint="eastAsia"/>
          <w:sz w:val="24"/>
          <w:szCs w:val="21"/>
        </w:rPr>
        <w:t>MAE</w:t>
      </w:r>
      <w:r>
        <w:rPr>
          <w:rFonts w:ascii="Times New Roman" w:hAnsi="Times New Roman" w:cs="Times New Roman" w:hint="eastAsia"/>
          <w:sz w:val="24"/>
          <w:szCs w:val="21"/>
        </w:rPr>
        <w:t>，</w:t>
      </w:r>
      <w:r>
        <w:rPr>
          <w:rFonts w:ascii="Times New Roman" w:hAnsi="Times New Roman" w:cs="Times New Roman" w:hint="eastAsia"/>
          <w:sz w:val="24"/>
          <w:szCs w:val="21"/>
        </w:rPr>
        <w:t>R2</w:t>
      </w:r>
      <w:r>
        <w:rPr>
          <w:rFonts w:ascii="Times New Roman" w:hAnsi="Times New Roman" w:cs="Times New Roman" w:hint="eastAsia"/>
          <w:sz w:val="24"/>
          <w:szCs w:val="21"/>
        </w:rPr>
        <w:t>，意味着什么，（大部分情况环境数据量都是很小，所以用这个很好，用机器学习会过拟合）</w:t>
      </w:r>
    </w:p>
    <w:p w14:paraId="6A428E29" w14:textId="77777777" w:rsidR="000F3761" w:rsidRDefault="00AB3A62">
      <w:pPr>
        <w:pStyle w:val="af5"/>
        <w:numPr>
          <w:ilvl w:val="0"/>
          <w:numId w:val="1"/>
        </w:numPr>
        <w:adjustRightInd w:val="0"/>
        <w:snapToGrid w:val="0"/>
        <w:spacing w:line="480" w:lineRule="auto"/>
        <w:rPr>
          <w:rFonts w:ascii="Times New Roman" w:hAnsi="Times New Roman" w:cs="Times New Roman"/>
          <w:sz w:val="24"/>
          <w:szCs w:val="21"/>
        </w:rPr>
      </w:pPr>
      <w:r>
        <w:rPr>
          <w:rFonts w:ascii="Times New Roman" w:hAnsi="Times New Roman" w:cs="Times New Roman" w:hint="eastAsia"/>
          <w:sz w:val="24"/>
          <w:szCs w:val="21"/>
        </w:rPr>
        <w:t>根据</w:t>
      </w:r>
      <w:r>
        <w:rPr>
          <w:rFonts w:ascii="Times New Roman" w:hAnsi="Times New Roman" w:cs="Times New Roman" w:hint="eastAsia"/>
          <w:sz w:val="24"/>
          <w:szCs w:val="21"/>
        </w:rPr>
        <w:t>PFAS</w:t>
      </w:r>
      <w:r>
        <w:rPr>
          <w:rFonts w:ascii="Times New Roman" w:hAnsi="Times New Roman" w:cs="Times New Roman" w:hint="eastAsia"/>
          <w:sz w:val="24"/>
          <w:szCs w:val="21"/>
        </w:rPr>
        <w:t>分析一些结论，对比</w:t>
      </w:r>
      <w:r>
        <w:rPr>
          <w:rFonts w:ascii="Times New Roman" w:hAnsi="Times New Roman" w:cs="Times New Roman" w:hint="eastAsia"/>
          <w:sz w:val="24"/>
          <w:szCs w:val="21"/>
        </w:rPr>
        <w:t>不同链长，有没有规律，或者哪个</w:t>
      </w:r>
      <w:r>
        <w:rPr>
          <w:rFonts w:ascii="Times New Roman" w:hAnsi="Times New Roman" w:cs="Times New Roman" w:hint="eastAsia"/>
          <w:sz w:val="24"/>
          <w:szCs w:val="21"/>
        </w:rPr>
        <w:t>biodegradable</w:t>
      </w:r>
      <w:r>
        <w:rPr>
          <w:rFonts w:ascii="Times New Roman" w:hAnsi="Times New Roman" w:cs="Times New Roman" w:hint="eastAsia"/>
          <w:sz w:val="24"/>
          <w:szCs w:val="21"/>
        </w:rPr>
        <w:t>最长或最短</w:t>
      </w:r>
    </w:p>
    <w:p w14:paraId="1654A43F" w14:textId="77777777" w:rsidR="000F3761" w:rsidRDefault="00AB3A62">
      <w:pPr>
        <w:adjustRightInd w:val="0"/>
        <w:snapToGrid w:val="0"/>
        <w:spacing w:line="480" w:lineRule="auto"/>
        <w:rPr>
          <w:rFonts w:ascii="Times New Roman" w:hAnsi="Times New Roman" w:cs="Times New Roman"/>
          <w:sz w:val="24"/>
          <w:szCs w:val="21"/>
        </w:rPr>
      </w:pPr>
      <w:r>
        <w:rPr>
          <w:rFonts w:ascii="Times New Roman" w:hAnsi="Times New Roman" w:cs="Times New Roman" w:hint="eastAsia"/>
          <w:sz w:val="24"/>
          <w:szCs w:val="21"/>
        </w:rPr>
        <w:t>3</w:t>
      </w:r>
      <w:r>
        <w:rPr>
          <w:rFonts w:ascii="Times New Roman" w:hAnsi="Times New Roman" w:cs="Times New Roman" w:hint="eastAsia"/>
          <w:sz w:val="24"/>
          <w:szCs w:val="21"/>
        </w:rPr>
        <w:t>）我们训练的模型，非常适用于</w:t>
      </w:r>
      <w:r>
        <w:rPr>
          <w:rFonts w:ascii="Times New Roman" w:hAnsi="Times New Roman" w:cs="Times New Roman" w:hint="eastAsia"/>
          <w:sz w:val="24"/>
          <w:szCs w:val="21"/>
        </w:rPr>
        <w:t>PFAS</w:t>
      </w:r>
      <w:r>
        <w:rPr>
          <w:rFonts w:ascii="Times New Roman" w:hAnsi="Times New Roman" w:cs="Times New Roman" w:hint="eastAsia"/>
          <w:sz w:val="24"/>
          <w:szCs w:val="21"/>
        </w:rPr>
        <w:t>类污染物，（欧式距离）</w:t>
      </w:r>
    </w:p>
    <w:p w14:paraId="482DC733" w14:textId="77777777" w:rsidR="000F3761" w:rsidRDefault="00AB3A62">
      <w:pPr>
        <w:adjustRightInd w:val="0"/>
        <w:snapToGrid w:val="0"/>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*Corresponding authors</w:t>
      </w:r>
    </w:p>
    <w:p w14:paraId="1F3FBFDA" w14:textId="77777777" w:rsidR="000F3761" w:rsidRDefault="00AB3A62">
      <w:pPr>
        <w:spacing w:line="480" w:lineRule="auto"/>
        <w:rPr>
          <w:rFonts w:ascii="Times New Roman" w:hAnsi="Times New Roman" w:cs="Times New Roman"/>
          <w:b/>
          <w:sz w:val="24"/>
          <w:szCs w:val="24"/>
        </w:rPr>
        <w:sectPr w:rsidR="000F3761">
          <w:headerReference w:type="default" r:id="rId7"/>
          <w:footerReference w:type="default" r:id="rId8"/>
          <w:pgSz w:w="11906" w:h="16838"/>
          <w:pgMar w:top="1440" w:right="1800" w:bottom="1440" w:left="1800" w:header="851" w:footer="992" w:gutter="0"/>
          <w:lnNumType w:countBy="1" w:restart="continuous"/>
          <w:pgNumType w:start="1"/>
          <w:cols w:space="425"/>
          <w:docGrid w:type="lines" w:linePitch="312"/>
        </w:sectPr>
      </w:pPr>
      <w:r>
        <w:rPr>
          <w:rFonts w:ascii="Times New Roman" w:hAnsi="Times New Roman" w:cs="Times New Roman" w:hint="eastAsia"/>
          <w:sz w:val="24"/>
        </w:rPr>
        <w:t>H.</w:t>
      </w:r>
      <w:r>
        <w:rPr>
          <w:rFonts w:ascii="Times New Roman" w:hAnsi="Times New Roman" w:cs="Times New Roman"/>
          <w:sz w:val="24"/>
        </w:rPr>
        <w:t xml:space="preserve"> J</w:t>
      </w:r>
      <w:r>
        <w:rPr>
          <w:rFonts w:ascii="Times New Roman" w:hAnsi="Times New Roman" w:cs="Times New Roman"/>
          <w:sz w:val="24"/>
          <w:lang w:eastAsia="zh-Hans"/>
        </w:rPr>
        <w:t>i</w:t>
      </w:r>
      <w:r>
        <w:rPr>
          <w:rFonts w:ascii="Times New Roman" w:hAnsi="Times New Roman" w:cs="Times New Roman"/>
          <w:sz w:val="24"/>
        </w:rPr>
        <w:t>, Tel: +</w:t>
      </w:r>
      <w:r>
        <w:rPr>
          <w:rFonts w:ascii="Times New Roman" w:hAnsi="Times New Roman" w:cs="Times New Roman" w:hint="eastAsia"/>
          <w:sz w:val="24"/>
        </w:rPr>
        <w:t>86</w:t>
      </w:r>
      <w:r>
        <w:rPr>
          <w:rFonts w:ascii="Times New Roman" w:hAnsi="Times New Roman" w:cs="Times New Roman"/>
          <w:sz w:val="24"/>
        </w:rPr>
        <w:t>-</w:t>
      </w:r>
      <w:r>
        <w:rPr>
          <w:rFonts w:ascii="Times New Roman" w:hAnsi="Times New Roman" w:cs="Times New Roman" w:hint="eastAsia"/>
          <w:sz w:val="24"/>
        </w:rPr>
        <w:t>0755</w:t>
      </w:r>
      <w:r>
        <w:rPr>
          <w:rFonts w:ascii="Times New Roman" w:hAnsi="Times New Roman" w:cs="Times New Roman"/>
          <w:sz w:val="24"/>
        </w:rPr>
        <w:t>-26035343, E-mail</w:t>
      </w:r>
      <w:r>
        <w:rPr>
          <w:rFonts w:ascii="Times New Roman" w:hAnsi="Times New Roman" w:cs="Times New Roman" w:hint="eastAsia"/>
          <w:sz w:val="24"/>
        </w:rPr>
        <w:t>: jihaodong@pku.edu.cn</w:t>
      </w:r>
    </w:p>
    <w:p w14:paraId="6BAFDD3E" w14:textId="77777777" w:rsidR="000F3761" w:rsidRDefault="00AB3A62">
      <w:pPr>
        <w:spacing w:line="480" w:lineRule="auto"/>
        <w:rPr>
          <w:rFonts w:ascii="Times New Roman" w:eastAsia="等线" w:hAnsi="Times New Roman" w:cs="Times New Roman"/>
          <w:b/>
          <w:sz w:val="24"/>
          <w:szCs w:val="24"/>
        </w:rPr>
      </w:pPr>
      <w:r>
        <w:rPr>
          <w:rFonts w:ascii="Times New Roman" w:eastAsia="等线" w:hAnsi="Times New Roman" w:cs="Times New Roman"/>
          <w:b/>
          <w:sz w:val="24"/>
          <w:szCs w:val="24"/>
        </w:rPr>
        <w:lastRenderedPageBreak/>
        <w:t>ABSTRACT</w:t>
      </w:r>
      <w:r>
        <w:rPr>
          <w:rFonts w:ascii="Times New Roman" w:eastAsia="等线" w:hAnsi="Times New Roman" w:cs="Times New Roman" w:hint="eastAsia"/>
          <w:b/>
          <w:sz w:val="24"/>
          <w:szCs w:val="24"/>
        </w:rPr>
        <w:t xml:space="preserve"> </w:t>
      </w:r>
    </w:p>
    <w:p w14:paraId="54C78590" w14:textId="77777777" w:rsidR="000F3761" w:rsidRDefault="00AB3A62">
      <w:pPr>
        <w:spacing w:line="480" w:lineRule="auto"/>
        <w:rPr>
          <w:rFonts w:ascii="Times New Roman" w:hAnsi="Times New Roman"/>
          <w:bCs/>
          <w:sz w:val="24"/>
          <w:szCs w:val="24"/>
          <w:shd w:val="clear" w:color="auto" w:fill="FFFFFF"/>
        </w:rPr>
      </w:pPr>
      <w:r>
        <w:rPr>
          <w:rFonts w:ascii="Times New Roman" w:hAnsi="Times New Roman" w:hint="eastAsia"/>
          <w:bCs/>
          <w:sz w:val="24"/>
          <w:szCs w:val="24"/>
          <w:shd w:val="clear" w:color="auto" w:fill="FFFFFF"/>
        </w:rPr>
        <w:t>The environmental challenges and biodegradation issues of per- and polyfluoroalkyl substances (PFAS) are critical. PFAS are of global environmental concern due to their persistence, bioaccumulation, and potential ecotoxicity. Their stability renders them r</w:t>
      </w:r>
      <w:r>
        <w:rPr>
          <w:rFonts w:ascii="Times New Roman" w:hAnsi="Times New Roman" w:hint="eastAsia"/>
          <w:bCs/>
          <w:sz w:val="24"/>
          <w:szCs w:val="24"/>
          <w:shd w:val="clear" w:color="auto" w:fill="FFFFFF"/>
        </w:rPr>
        <w:t>esistant to natural degradation, impacting water bodies, soil, and organisms over the long term. Biodegradation testing is a vital component of PFAS regulation, encompassing classification, labeling, environmental risk assessment, and hazard evaluation. Ho</w:t>
      </w:r>
      <w:r>
        <w:rPr>
          <w:rFonts w:ascii="Times New Roman" w:hAnsi="Times New Roman" w:hint="eastAsia"/>
          <w:bCs/>
          <w:sz w:val="24"/>
          <w:szCs w:val="24"/>
          <w:shd w:val="clear" w:color="auto" w:fill="FFFFFF"/>
        </w:rPr>
        <w:t>wever, current laboratory methods for assessing biodegradability and persistence are costly, time-consuming, and yield inconsistent results. To date, approximately 145,299 chemicals have been pre-registered under the EU REACH regulations, but only 4,214 ha</w:t>
      </w:r>
      <w:r>
        <w:rPr>
          <w:rFonts w:ascii="Times New Roman" w:hAnsi="Times New Roman" w:hint="eastAsia"/>
          <w:bCs/>
          <w:sz w:val="24"/>
          <w:szCs w:val="24"/>
          <w:shd w:val="clear" w:color="auto" w:fill="FFFFFF"/>
        </w:rPr>
        <w:t xml:space="preserve">ve been reliably screened for biodegradability. Testing the remainder is a cumbersome, expensive, and potentially unfeasible task. Additionally, the factors influencing biodegradability are poorly understood and under-researched. While traditional machine </w:t>
      </w:r>
      <w:r>
        <w:rPr>
          <w:rFonts w:ascii="Times New Roman" w:hAnsi="Times New Roman" w:hint="eastAsia"/>
          <w:bCs/>
          <w:sz w:val="24"/>
          <w:szCs w:val="24"/>
          <w:shd w:val="clear" w:color="auto" w:fill="FFFFFF"/>
        </w:rPr>
        <w:t>learning and deep learning models have advanced in predicting PFAS biodegradation half-lives, they are often constrained by insufficient data and feature extraction limitations. To address these challenges, we utilize the Llama 2-13B-chat Large Language Mo</w:t>
      </w:r>
      <w:r>
        <w:rPr>
          <w:rFonts w:ascii="Times New Roman" w:hAnsi="Times New Roman" w:hint="eastAsia"/>
          <w:bCs/>
          <w:sz w:val="24"/>
          <w:szCs w:val="24"/>
          <w:shd w:val="clear" w:color="auto" w:fill="FFFFFF"/>
        </w:rPr>
        <w:t>del (LLM) to predict the biodegradation half-lives of PFAS. By employing a novel fine-tuning technique</w:t>
      </w:r>
      <w:r>
        <w:rPr>
          <w:rFonts w:ascii="Times New Roman" w:hAnsi="Times New Roman" w:hint="eastAsia"/>
          <w:bCs/>
          <w:sz w:val="24"/>
          <w:szCs w:val="24"/>
          <w:shd w:val="clear" w:color="auto" w:fill="FFFFFF"/>
        </w:rPr>
        <w:t>—</w:t>
      </w:r>
      <w:r>
        <w:rPr>
          <w:rFonts w:ascii="Times New Roman" w:hAnsi="Times New Roman" w:hint="eastAsia"/>
          <w:bCs/>
          <w:sz w:val="24"/>
          <w:szCs w:val="24"/>
          <w:shd w:val="clear" w:color="auto" w:fill="FFFFFF"/>
        </w:rPr>
        <w:t>Low-Rank Adaptation Matrix Decomposition (LoRA)</w:t>
      </w:r>
      <w:r>
        <w:rPr>
          <w:rFonts w:ascii="Times New Roman" w:hAnsi="Times New Roman" w:hint="eastAsia"/>
          <w:bCs/>
          <w:sz w:val="24"/>
          <w:szCs w:val="24"/>
          <w:shd w:val="clear" w:color="auto" w:fill="FFFFFF"/>
        </w:rPr>
        <w:t>—</w:t>
      </w:r>
      <w:r>
        <w:rPr>
          <w:rFonts w:ascii="Times New Roman" w:hAnsi="Times New Roman" w:hint="eastAsia"/>
          <w:bCs/>
          <w:sz w:val="24"/>
          <w:szCs w:val="24"/>
          <w:shd w:val="clear" w:color="auto" w:fill="FFFFFF"/>
        </w:rPr>
        <w:t xml:space="preserve">we achieve predictive capabilities under limited </w:t>
      </w:r>
      <w:r>
        <w:rPr>
          <w:rFonts w:ascii="Times New Roman" w:hAnsi="Times New Roman" w:hint="eastAsia"/>
          <w:bCs/>
          <w:sz w:val="24"/>
          <w:szCs w:val="24"/>
          <w:shd w:val="clear" w:color="auto" w:fill="FFFFFF"/>
        </w:rPr>
        <w:t>graphics processing unit</w:t>
      </w:r>
      <w:r>
        <w:rPr>
          <w:rFonts w:ascii="Times New Roman" w:hAnsi="Times New Roman" w:hint="eastAsia"/>
          <w:bCs/>
          <w:sz w:val="24"/>
          <w:szCs w:val="24"/>
          <w:shd w:val="clear" w:color="auto" w:fill="FFFFFF"/>
        </w:rPr>
        <w:t xml:space="preserve"> resources. Furthermore, integra</w:t>
      </w:r>
      <w:r>
        <w:rPr>
          <w:rFonts w:ascii="Times New Roman" w:hAnsi="Times New Roman" w:hint="eastAsia"/>
          <w:bCs/>
          <w:sz w:val="24"/>
          <w:szCs w:val="24"/>
          <w:shd w:val="clear" w:color="auto" w:fill="FFFFFF"/>
        </w:rPr>
        <w:t xml:space="preserve">ting a Chain of Thought (CoT) process enhances the interpretability and reliability of our predictions, demonstrating higher predictive accuracy in zero-shot or low-shot learning scenarios. Additionally, we </w:t>
      </w:r>
      <w:r>
        <w:rPr>
          <w:rFonts w:ascii="Times New Roman" w:hAnsi="Times New Roman" w:hint="eastAsia"/>
          <w:bCs/>
          <w:sz w:val="24"/>
          <w:szCs w:val="24"/>
          <w:shd w:val="clear" w:color="auto" w:fill="FFFFFF"/>
        </w:rPr>
        <w:lastRenderedPageBreak/>
        <w:t>innovatively use an Euclidean distance-based algo</w:t>
      </w:r>
      <w:r>
        <w:rPr>
          <w:rFonts w:ascii="Times New Roman" w:hAnsi="Times New Roman" w:hint="eastAsia"/>
          <w:bCs/>
          <w:sz w:val="24"/>
          <w:szCs w:val="24"/>
          <w:shd w:val="clear" w:color="auto" w:fill="FFFFFF"/>
        </w:rPr>
        <w:t>rithm to calculate the similarity between compounds within the domain of applicability, showing the potential of large models as tools for environmental monitoring and risk assessment.</w:t>
      </w:r>
    </w:p>
    <w:p w14:paraId="055BD0D7" w14:textId="77777777" w:rsidR="000F3761" w:rsidRDefault="000F3761">
      <w:pPr>
        <w:spacing w:line="480" w:lineRule="auto"/>
        <w:rPr>
          <w:rFonts w:ascii="Times New Roman" w:hAnsi="Times New Roman"/>
          <w:b/>
          <w:sz w:val="24"/>
          <w:szCs w:val="24"/>
          <w:shd w:val="clear" w:color="auto" w:fill="FFFFFF"/>
        </w:rPr>
      </w:pPr>
    </w:p>
    <w:p w14:paraId="2E676E52" w14:textId="77777777" w:rsidR="000F3761" w:rsidRDefault="00AB3A62">
      <w:pPr>
        <w:spacing w:line="480" w:lineRule="auto"/>
        <w:rPr>
          <w:rFonts w:ascii="Times New Roman" w:eastAsia="宋体" w:hAnsi="Times New Roman"/>
          <w:sz w:val="24"/>
        </w:rPr>
      </w:pPr>
      <w:r>
        <w:rPr>
          <w:rFonts w:ascii="Times New Roman" w:hAnsi="Times New Roman"/>
          <w:b/>
          <w:sz w:val="24"/>
          <w:szCs w:val="24"/>
          <w:shd w:val="clear" w:color="auto" w:fill="FFFFFF"/>
        </w:rPr>
        <w:t>KEYWORDS:</w:t>
      </w:r>
      <w:r>
        <w:rPr>
          <w:rFonts w:ascii="Times New Roman" w:eastAsia="宋体" w:hAnsi="Times New Roman"/>
          <w:b/>
          <w:bCs/>
          <w:sz w:val="24"/>
        </w:rPr>
        <w:t xml:space="preserve"> </w:t>
      </w:r>
      <w:r>
        <w:rPr>
          <w:rFonts w:ascii="Times New Roman" w:eastAsia="宋体" w:hAnsi="Times New Roman"/>
          <w:sz w:val="24"/>
        </w:rPr>
        <w:t>Per- and Polyfluoroalkyl Substances (PFAS); biodegradation h</w:t>
      </w:r>
      <w:r>
        <w:rPr>
          <w:rFonts w:ascii="Times New Roman" w:eastAsia="宋体" w:hAnsi="Times New Roman"/>
          <w:sz w:val="24"/>
        </w:rPr>
        <w:t>alf-lives; Large Language Models (LLMs); Chain of Thought (CoT); processing Euclidean-distance-based algorithm</w:t>
      </w:r>
    </w:p>
    <w:p w14:paraId="51000BB1" w14:textId="77777777" w:rsidR="000F3761" w:rsidRDefault="000F3761">
      <w:pPr>
        <w:spacing w:line="480" w:lineRule="auto"/>
        <w:rPr>
          <w:rFonts w:ascii="Times New Roman" w:eastAsia="宋体" w:hAnsi="Times New Roman"/>
          <w:sz w:val="24"/>
        </w:rPr>
      </w:pPr>
    </w:p>
    <w:p w14:paraId="09CD5F38" w14:textId="77777777" w:rsidR="000F3761" w:rsidRDefault="00AB3A62">
      <w:pPr>
        <w:pStyle w:val="ac"/>
        <w:widowControl/>
        <w:rPr>
          <w:rFonts w:ascii="Times New Roman" w:eastAsia="宋体" w:hAnsi="Times New Roman"/>
          <w:b/>
          <w:bCs/>
        </w:rPr>
      </w:pPr>
      <w:r>
        <w:rPr>
          <w:rFonts w:ascii="Times New Roman" w:eastAsia="宋体" w:hAnsi="Times New Roman" w:hint="eastAsia"/>
          <w:b/>
          <w:bCs/>
        </w:rPr>
        <w:t>Environment</w:t>
      </w:r>
      <w:r>
        <w:rPr>
          <w:rFonts w:ascii="Times New Roman" w:eastAsia="宋体" w:hAnsi="Times New Roman"/>
          <w:b/>
          <w:bCs/>
        </w:rPr>
        <w:t xml:space="preserve"> </w:t>
      </w:r>
      <w:r>
        <w:rPr>
          <w:rFonts w:ascii="Times New Roman" w:eastAsia="宋体" w:hAnsi="Times New Roman" w:hint="eastAsia"/>
          <w:b/>
          <w:bCs/>
        </w:rPr>
        <w:t xml:space="preserve">Implication </w:t>
      </w:r>
    </w:p>
    <w:p w14:paraId="26CA999F" w14:textId="77777777" w:rsidR="000F3761" w:rsidRDefault="00AB3A62">
      <w:pPr>
        <w:pStyle w:val="ac"/>
        <w:widowControl/>
        <w:spacing w:line="480" w:lineRule="auto"/>
        <w:jc w:val="both"/>
        <w:rPr>
          <w:rFonts w:ascii="Times New Roman" w:eastAsia="宋体" w:hAnsi="Times New Roman"/>
          <w:color w:val="000000"/>
        </w:rPr>
      </w:pPr>
      <w:r>
        <w:rPr>
          <w:rFonts w:ascii="Times New Roman" w:eastAsia="宋体" w:hAnsi="Times New Roman" w:hint="eastAsia"/>
          <w:color w:val="000000"/>
        </w:rPr>
        <w:t>This research utilizes the advanced Llama 2-13B-chat Large Language Model (LLM) to predict the biodegradation half-live</w:t>
      </w:r>
      <w:r>
        <w:rPr>
          <w:rFonts w:ascii="Times New Roman" w:eastAsia="宋体" w:hAnsi="Times New Roman" w:hint="eastAsia"/>
          <w:color w:val="000000"/>
        </w:rPr>
        <w:t>s of per- and polyfluoroalkyl substances (PFAS), Addressed the issue of data scarcity in PFAS experimentation.. Traditional biodegradability tests are costly and unreliable, highlighting the need for efficient alternatives like our novel Euclidean-distance</w:t>
      </w:r>
      <w:r>
        <w:rPr>
          <w:rFonts w:ascii="Times New Roman" w:eastAsia="宋体" w:hAnsi="Times New Roman" w:hint="eastAsia"/>
          <w:color w:val="000000"/>
        </w:rPr>
        <w:t>-based algorithm, which offers improved chemical similarity assessment over the Tanimoto index. Enhanced with Low-Rank Adaptation (LoRA) and Chain of Thought processing, our model provides precise, interpretable predictions, informing regulatory policies a</w:t>
      </w:r>
      <w:r>
        <w:rPr>
          <w:rFonts w:ascii="Times New Roman" w:eastAsia="宋体" w:hAnsi="Times New Roman" w:hint="eastAsia"/>
          <w:color w:val="000000"/>
        </w:rPr>
        <w:t>nd risk assessments. This methodology could extend to other persistent pollutants, advancing environmental science and AI-driven environmental management.</w:t>
      </w:r>
    </w:p>
    <w:p w14:paraId="45743E08" w14:textId="77777777" w:rsidR="000F3761" w:rsidRDefault="000F3761">
      <w:pPr>
        <w:spacing w:line="480" w:lineRule="auto"/>
        <w:rPr>
          <w:rFonts w:ascii="Times New Roman" w:eastAsia="宋体" w:hAnsi="Times New Roman"/>
          <w:sz w:val="24"/>
        </w:rPr>
      </w:pPr>
    </w:p>
    <w:p w14:paraId="177C8782" w14:textId="77777777" w:rsidR="000F3761" w:rsidRDefault="000F3761">
      <w:pPr>
        <w:spacing w:line="480" w:lineRule="auto"/>
        <w:rPr>
          <w:rFonts w:ascii="Times New Roman" w:eastAsia="宋体" w:hAnsi="Times New Roman"/>
          <w:sz w:val="24"/>
        </w:rPr>
      </w:pPr>
    </w:p>
    <w:p w14:paraId="1F674E76" w14:textId="77777777" w:rsidR="000F3761" w:rsidRDefault="00AB3A62">
      <w:pPr>
        <w:spacing w:line="480" w:lineRule="auto"/>
        <w:rPr>
          <w:rFonts w:ascii="Times New Roman" w:eastAsia="宋体" w:hAnsi="Times New Roman"/>
          <w:sz w:val="24"/>
        </w:rPr>
      </w:pPr>
      <w:r>
        <w:rPr>
          <w:rFonts w:ascii="Times New Roman" w:eastAsia="宋体" w:hAnsi="Times New Roman"/>
          <w:sz w:val="24"/>
        </w:rPr>
        <w:lastRenderedPageBreak/>
        <w:br w:type="page"/>
      </w:r>
    </w:p>
    <w:p w14:paraId="5939BC3D" w14:textId="77777777" w:rsidR="000F3761" w:rsidRDefault="00AB3A62">
      <w:pPr>
        <w:spacing w:line="480" w:lineRule="auto"/>
        <w:rPr>
          <w:rFonts w:ascii="Times New Roman" w:eastAsia="宋体" w:hAnsi="Times New Roman" w:cs="Times New Roman"/>
          <w:sz w:val="24"/>
        </w:rPr>
      </w:pPr>
      <w:r>
        <w:rPr>
          <w:rFonts w:ascii="Times New Roman" w:eastAsia="等线" w:hAnsi="Times New Roman" w:cs="Times New Roman"/>
          <w:b/>
          <w:bCs/>
          <w:sz w:val="24"/>
          <w:szCs w:val="24"/>
        </w:rPr>
        <w:lastRenderedPageBreak/>
        <w:t>INTRODUCTION</w:t>
      </w:r>
      <w:r>
        <w:rPr>
          <w:rFonts w:ascii="Times New Roman" w:eastAsia="等线" w:hAnsi="Times New Roman" w:cs="Times New Roman" w:hint="eastAsia"/>
          <w:b/>
          <w:bCs/>
          <w:sz w:val="24"/>
          <w:szCs w:val="24"/>
        </w:rPr>
        <w:t xml:space="preserve"> </w:t>
      </w:r>
    </w:p>
    <w:p w14:paraId="16F752EB" w14:textId="77777777" w:rsidR="000F3761" w:rsidRDefault="00AB3A62">
      <w:pPr>
        <w:widowControl/>
        <w:spacing w:line="48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In recent years, the persistence, bioaccumulation, and potential </w:t>
      </w:r>
      <w:r>
        <w:rPr>
          <w:rFonts w:ascii="Times New Roman" w:eastAsia="宋体" w:hAnsi="Times New Roman" w:cs="Times New Roman"/>
          <w:color w:val="000000"/>
          <w:kern w:val="0"/>
          <w:sz w:val="24"/>
        </w:rPr>
        <w:t>ecotoxicity of per- and polyfluoroalkyl substances (PFAS) have become a global environmental concern.</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{"citationID":"fZU2x2Dv","properties":{"unsorted":true,"formattedCitation":"\\super 1,2\\nosupersub{}","plainCitation":"1,2</w:instrText>
      </w:r>
      <w:r>
        <w:rPr>
          <w:rFonts w:ascii="Times New Roman" w:eastAsia="宋体" w:hAnsi="Times New Roman" w:cs="Times New Roman"/>
          <w:color w:val="000000"/>
          <w:kern w:val="0"/>
          <w:sz w:val="24"/>
        </w:rPr>
        <w:instrText>","noteIndex":0},"citationItems":[{"id":45,"uris":["http://zotero.org/users/local/4YXbPDcN/items/2RDIZ5ZW"],"itemData":{"id":45,"type":"article-journal","abstract":"Systematic description of more than 200 uses of PFAS and the individual substances associat</w:instrText>
      </w:r>
      <w:r>
        <w:rPr>
          <w:rFonts w:ascii="Times New Roman" w:eastAsia="宋体" w:hAnsi="Times New Roman" w:cs="Times New Roman"/>
          <w:color w:val="000000"/>
          <w:kern w:val="0"/>
          <w:sz w:val="24"/>
        </w:rPr>
        <w:instrText>ed with each of them (over 1400 PFAS in total).\n          , \n            Per- and polyfluoroalkyl substances (PFAS) are of concern because of their high persistence (or that of their degradation products) and their impacts on human and environmental heal</w:instrText>
      </w:r>
      <w:r>
        <w:rPr>
          <w:rFonts w:ascii="Times New Roman" w:eastAsia="宋体" w:hAnsi="Times New Roman" w:cs="Times New Roman"/>
          <w:color w:val="000000"/>
          <w:kern w:val="0"/>
          <w:sz w:val="24"/>
        </w:rPr>
        <w:instrText>th that are known or can be deduced from some well-studied PFAS. Currently, many different PFAS (on the order of several thousands) are used in a wide range of applications, and there is no comprehensive source of information on the many individual substan</w:instrText>
      </w:r>
      <w:r>
        <w:rPr>
          <w:rFonts w:ascii="Times New Roman" w:eastAsia="宋体" w:hAnsi="Times New Roman" w:cs="Times New Roman"/>
          <w:color w:val="000000"/>
          <w:kern w:val="0"/>
          <w:sz w:val="24"/>
        </w:rPr>
        <w:instrText xml:space="preserve">ces and their functions in different applications. Here we provide a broad overview of many use categories where PFAS have been employed and for which function; we also specify which PFAS have been used and discuss the magnitude of the uses. Despite being </w:instrText>
      </w:r>
      <w:r>
        <w:rPr>
          <w:rFonts w:ascii="Times New Roman" w:eastAsia="宋体" w:hAnsi="Times New Roman" w:cs="Times New Roman"/>
          <w:color w:val="000000"/>
          <w:kern w:val="0"/>
          <w:sz w:val="24"/>
        </w:rPr>
        <w:instrText>non-exhaustive, our study clearly demonstrates that PFAS are used in almost all industry branches and many consumer products. In total, more than 200 use categories and subcategories are identified for more than 1400 individual PFAS. In addition to well-kn</w:instrText>
      </w:r>
      <w:r>
        <w:rPr>
          <w:rFonts w:ascii="Times New Roman" w:eastAsia="宋体" w:hAnsi="Times New Roman" w:cs="Times New Roman"/>
          <w:color w:val="000000"/>
          <w:kern w:val="0"/>
          <w:sz w:val="24"/>
        </w:rPr>
        <w:instrText>own categories such as textile impregnation, fire-fighting foam, and electroplating, the identified use categories also include many categories not described in the scientific literature, including PFAS in ammunition, climbing ropes, guitar strings, artifi</w:instrText>
      </w:r>
      <w:r>
        <w:rPr>
          <w:rFonts w:ascii="Times New Roman" w:eastAsia="宋体" w:hAnsi="Times New Roman" w:cs="Times New Roman"/>
          <w:color w:val="000000"/>
          <w:kern w:val="0"/>
          <w:sz w:val="24"/>
        </w:rPr>
        <w:instrText>cial turf, and soil remediation. We further discuss several use categories that may be prioritised for finding PFAS-free alternatives. Besides the detailed description of use categories, the present study also provides a list of the identified PFAS per use</w:instrText>
      </w:r>
      <w:r>
        <w:rPr>
          <w:rFonts w:ascii="Times New Roman" w:eastAsia="宋体" w:hAnsi="Times New Roman" w:cs="Times New Roman"/>
          <w:color w:val="000000"/>
          <w:kern w:val="0"/>
          <w:sz w:val="24"/>
        </w:rPr>
        <w:instrText xml:space="preserve"> category, including their exact masses for future analytical studies aiming to identify additional PFAS.","container-title":"Environmental Science: Processes &amp; Impacts","DOI":"10.1039/D0EM00291G","ISSN":"2050-7887, 2050-7895","issue":"12","journalAbbrevia</w:instrText>
      </w:r>
      <w:r>
        <w:rPr>
          <w:rFonts w:ascii="Times New Roman" w:eastAsia="宋体" w:hAnsi="Times New Roman" w:cs="Times New Roman"/>
          <w:color w:val="000000"/>
          <w:kern w:val="0"/>
          <w:sz w:val="24"/>
        </w:rPr>
        <w:instrText>tion":"Environ. Sci.: Processes Impacts","language":"en","page":"2345-2373","source":"DOI.org (Crossref)","title":"An overview of the uses of per- and polyfluoroalkyl substances (PFAS)","volume":"22","author":[{"family":"Glüge","given":"Juliane"},{"family"</w:instrText>
      </w:r>
      <w:r>
        <w:rPr>
          <w:rFonts w:ascii="Times New Roman" w:eastAsia="宋体" w:hAnsi="Times New Roman" w:cs="Times New Roman"/>
          <w:color w:val="000000"/>
          <w:kern w:val="0"/>
          <w:sz w:val="24"/>
        </w:rPr>
        <w:instrText>:"Scheringer","given":"Martin"},{"family":"Cousins","given":"Ian T."},{"family":"DeWitt","given":"Jamie C."},{"family":"Goldenman","given":"Gretta"},{"family":"Herzke","given":"Dorte"},{"family":"Lohmann","given":"Rainer"},{"family":"Ng","given":"Carla A."</w:instrText>
      </w:r>
      <w:r>
        <w:rPr>
          <w:rFonts w:ascii="Times New Roman" w:eastAsia="宋体" w:hAnsi="Times New Roman" w:cs="Times New Roman"/>
          <w:color w:val="000000"/>
          <w:kern w:val="0"/>
          <w:sz w:val="24"/>
        </w:rPr>
        <w:instrText>},{"family":"Trier","given":"Xenia"},{"family":"Wang","given":"Zhanyun"}],"issued":{"date-parts":[["2020"]]}},"label":"page"},{"id":44,"uris":["http://zotero.org/users/local/4YXbPDcN/items/IGH6Z6V9"],"itemData":{"id":44,"type":"article-journal","container-</w:instrText>
      </w:r>
      <w:r>
        <w:rPr>
          <w:rFonts w:ascii="Times New Roman" w:eastAsia="宋体" w:hAnsi="Times New Roman" w:cs="Times New Roman"/>
          <w:color w:val="000000"/>
          <w:kern w:val="0"/>
          <w:sz w:val="24"/>
        </w:rPr>
        <w:instrText>title":"Environmental Research","DOI":"10.1016/j.envres.2018.10.023","ISSN":"00139351","journalAbbreviation":"Environmental Research","language":"en","page":"326-341","source":"DOI.org (Crossref)","title":"Accumulation of perfluorinated alkyl substances (P</w:instrText>
      </w:r>
      <w:r>
        <w:rPr>
          <w:rFonts w:ascii="Times New Roman" w:eastAsia="宋体" w:hAnsi="Times New Roman" w:cs="Times New Roman"/>
          <w:color w:val="000000"/>
          <w:kern w:val="0"/>
          <w:sz w:val="24"/>
        </w:rPr>
        <w:instrText>FAS) in agricultural plants: A review","title-short":"Accumulation of perfluorinated alkyl substances (PFAS) in agricultural plants","volume":"169","author":[{"family":"Ghisi","given":"Rossella"},{"family":"Vamerali","given":"Teofilo"},{"family":"Manzetti"</w:instrText>
      </w:r>
      <w:r>
        <w:rPr>
          <w:rFonts w:ascii="Times New Roman" w:eastAsia="宋体" w:hAnsi="Times New Roman" w:cs="Times New Roman"/>
          <w:color w:val="000000"/>
          <w:kern w:val="0"/>
          <w:sz w:val="24"/>
        </w:rPr>
        <w:instrText xml:space="preserve">,"given":"Sergio"}],"issued":{"date-parts":[["2019",2]]}},"label":"page"}],"schema":"https://github.com/citation-style-language/schema/raw/master/csl-citation.json"}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1, 2</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The stability of PFAS makes them resistant to degradation in the natural environme</w:t>
      </w:r>
      <w:r>
        <w:rPr>
          <w:rFonts w:ascii="Times New Roman" w:eastAsia="宋体" w:hAnsi="Times New Roman" w:cs="Times New Roman"/>
          <w:color w:val="000000"/>
          <w:kern w:val="0"/>
          <w:sz w:val="24"/>
        </w:rPr>
        <w:t>nt, thereby posing long-term effects on water bodies, soil, and even organisms.</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{"citationID":"KsnhTy25","properties":{"formattedCitation":"\\super 2\\nosupersub{}","plainCitation":"2","noteIndex":0},"citationItems":[{"id":44</w:instrText>
      </w:r>
      <w:r>
        <w:rPr>
          <w:rFonts w:ascii="Times New Roman" w:eastAsia="宋体" w:hAnsi="Times New Roman" w:cs="Times New Roman"/>
          <w:color w:val="000000"/>
          <w:kern w:val="0"/>
          <w:sz w:val="24"/>
        </w:rPr>
        <w:instrText>,"uris":["http://zotero.org/users/local/4YXbPDcN/items/IGH6Z6V9"],"itemData":{"id":44,"type":"article-journal","container-title":"Environmental Research","DOI":"10.1016/j.envres.2018.10.023","ISSN":"00139351","journalAbbreviation":"Environmental Research",</w:instrText>
      </w:r>
      <w:r>
        <w:rPr>
          <w:rFonts w:ascii="Times New Roman" w:eastAsia="宋体" w:hAnsi="Times New Roman" w:cs="Times New Roman"/>
          <w:color w:val="000000"/>
          <w:kern w:val="0"/>
          <w:sz w:val="24"/>
        </w:rPr>
        <w:instrText>"language":"en","page":"326-341","source":"DOI.org (Crossref)","title":"Accumulation of perfluorinated alkyl substances (PFAS) in agricultural plants: A review","title-short":"Accumulation of perfluorinated alkyl substances (PFAS) in agricultural plants","</w:instrText>
      </w:r>
      <w:r>
        <w:rPr>
          <w:rFonts w:ascii="Times New Roman" w:eastAsia="宋体" w:hAnsi="Times New Roman" w:cs="Times New Roman"/>
          <w:color w:val="000000"/>
          <w:kern w:val="0"/>
          <w:sz w:val="24"/>
        </w:rPr>
        <w:instrText>volume":"169","author":[{"family":"Ghisi","given":"Rossella"},{"family":"Vamerali","given":"Teofilo"},{"family":"Manzetti","given":"Sergio"}],"issued":{"date-parts":[["2019",2]]}}}],"schema":"https://github.com/citation-style-language/schema/raw/master/csl</w:instrText>
      </w:r>
      <w:r>
        <w:rPr>
          <w:rFonts w:ascii="Times New Roman" w:eastAsia="宋体" w:hAnsi="Times New Roman" w:cs="Times New Roman"/>
          <w:color w:val="000000"/>
          <w:kern w:val="0"/>
          <w:sz w:val="24"/>
        </w:rPr>
        <w:instrText xml:space="preserve">-citation.json"}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2</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Biodegradation testing is an indispensable step in PFAS regulation; it determines the classification and labeling of PFAS, environmental risk assessment, and hazard evaluation.</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{"citationID":"MKGuO42p","</w:instrText>
      </w:r>
      <w:r>
        <w:rPr>
          <w:rFonts w:ascii="Times New Roman" w:eastAsia="宋体" w:hAnsi="Times New Roman" w:cs="Times New Roman"/>
          <w:color w:val="000000"/>
          <w:kern w:val="0"/>
          <w:sz w:val="24"/>
        </w:rPr>
        <w:instrText>properties":{"formattedCitation":"\\super 3\\nosupersub{}","plainCitation":"3","noteIndex":0},"citationItems":[{"id":43,"uris":["http://zotero.org/users/local/4YXbPDcN/items/5AW2W48V"],"itemData":{"id":43,"type":"article-journal","container-title":"Green C</w:instrText>
      </w:r>
      <w:r>
        <w:rPr>
          <w:rFonts w:ascii="Times New Roman" w:eastAsia="宋体" w:hAnsi="Times New Roman" w:cs="Times New Roman"/>
          <w:color w:val="000000"/>
          <w:kern w:val="0"/>
          <w:sz w:val="24"/>
        </w:rPr>
        <w:instrText xml:space="preserve">hemistry","DOI":"10.1039/c2gc16267a","ISSN":"1463-9262, 1463-9270","issue":"4","journalAbbreviation":"Green Chem.","language":"en","page":"875","source":"DOI.org (Crossref)","title":"Modeling and predicting aquatic aerobic biodegradation – a review from a </w:instrText>
      </w:r>
      <w:r>
        <w:rPr>
          <w:rFonts w:ascii="Times New Roman" w:eastAsia="宋体" w:hAnsi="Times New Roman" w:cs="Times New Roman"/>
          <w:color w:val="000000"/>
          <w:kern w:val="0"/>
          <w:sz w:val="24"/>
        </w:rPr>
        <w:instrText xml:space="preserve">user's perspective","volume":"14","author":[{"family":"Rücker","given":"Christoph"},{"family":"Kümmerer","given":"Klaus"}],"issued":{"date-parts":[["2012"]]}}}],"schema":"https://github.com/citation-style-language/schema/raw/master/csl-citation.json"}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3</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However,</w:t>
      </w:r>
      <w:r>
        <w:rPr>
          <w:rFonts w:ascii="Times New Roman" w:eastAsia="宋体" w:hAnsi="Times New Roman" w:cs="Times New Roman" w:hint="eastAsia"/>
          <w:color w:val="000000"/>
          <w:kern w:val="0"/>
          <w:sz w:val="24"/>
        </w:rPr>
        <w:t xml:space="preserve"> </w:t>
      </w:r>
      <w:r>
        <w:rPr>
          <w:rFonts w:ascii="Times New Roman" w:eastAsia="宋体" w:hAnsi="Times New Roman" w:cs="Times New Roman"/>
          <w:color w:val="000000"/>
          <w:kern w:val="0"/>
          <w:sz w:val="24"/>
        </w:rPr>
        <w:t>current laboratory methods for assessing biodegradability/persistence are expensive, time-consuming, and have poor reproducibility.</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{"citationID":"LIVmwMAM","properties":{"formattedCitation":"\\super 4\\nosupersub{}</w:instrText>
      </w:r>
      <w:r>
        <w:rPr>
          <w:rFonts w:ascii="Times New Roman" w:eastAsia="宋体" w:hAnsi="Times New Roman" w:cs="Times New Roman"/>
          <w:color w:val="000000"/>
          <w:kern w:val="0"/>
          <w:sz w:val="24"/>
        </w:rPr>
        <w:instrText>","plainCitation":"4","noteIndex":0},"citationItems":[{"id":42,"uris":["http://zotero.org/users/local/4YXbPDcN/items/ZKUF8S3G"],"itemData":{"id":42,"type":"article-journal","container-title":"Ecotoxicology and Environmental Safety","DOI":"10.1016/j.ecoenv.</w:instrText>
      </w:r>
      <w:r>
        <w:rPr>
          <w:rFonts w:ascii="Times New Roman" w:eastAsia="宋体" w:hAnsi="Times New Roman" w:cs="Times New Roman"/>
          <w:color w:val="000000"/>
          <w:kern w:val="0"/>
          <w:sz w:val="24"/>
        </w:rPr>
        <w:instrText>2014.09.021","ISSN":"01476513","journalAbbreviation":"Ecotoxicology and Environmental Safety","language":"en","page":"9-22","source":"DOI.org (Crossref)","title":"Refinement of biodegradation tests methodologies and the proposed utility of new microbial ec</w:instrText>
      </w:r>
      <w:r>
        <w:rPr>
          <w:rFonts w:ascii="Times New Roman" w:eastAsia="宋体" w:hAnsi="Times New Roman" w:cs="Times New Roman"/>
          <w:color w:val="000000"/>
          <w:kern w:val="0"/>
          <w:sz w:val="24"/>
        </w:rPr>
        <w:instrText>ology techniques","volume":"111","author":[{"family":"Kowalczyk","given":"Agnieszka"},{"family":"Martin","given":"Timothy James"},{"family":"Price","given":"Oliver Richard"},{"family":"Snape","given":"Jason Richard"},{"family":"Van Egmond","given":"Roger A</w:instrText>
      </w:r>
      <w:r>
        <w:rPr>
          <w:rFonts w:ascii="Times New Roman" w:eastAsia="宋体" w:hAnsi="Times New Roman" w:cs="Times New Roman"/>
          <w:color w:val="000000"/>
          <w:kern w:val="0"/>
          <w:sz w:val="24"/>
        </w:rPr>
        <w:instrText>lbert"},{"family":"Finnegan","given":"Christopher James"},{"family":"Schäfer","given":"Hendrik"},{"family":"Davenport","given":"Russell James"},{"family":"Bending","given":"Gary Douglas"}],"issued":{"date-parts":[["2015",1]]}}}],"schema":"https://github.co</w:instrText>
      </w:r>
      <w:r>
        <w:rPr>
          <w:rFonts w:ascii="Times New Roman" w:eastAsia="宋体" w:hAnsi="Times New Roman" w:cs="Times New Roman"/>
          <w:color w:val="000000"/>
          <w:kern w:val="0"/>
          <w:sz w:val="24"/>
        </w:rPr>
        <w:instrText xml:space="preserve">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4</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To date, an estimated 145,299 chemicals (unique substances pre-registered under the EU REACH regulation) exist, of which only 4,214 have been reliably screened for biodegradability (OECD,</w:t>
      </w:r>
      <w:r>
        <w:rPr>
          <w:rFonts w:ascii="Times New Roman" w:eastAsia="宋体" w:hAnsi="Times New Roman" w:cs="Times New Roman"/>
          <w:color w:val="000000"/>
          <w:kern w:val="0"/>
          <w:sz w:val="24"/>
        </w:rPr>
        <w:t xml:space="preserve"> 2017). Testing the remaining existing and new chemicals in this manner is a tedious, expensive, and potentially unfeasible task. Furthermore, the factors affecting biodegradability are poorly understood and seldom studied.</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w:instrText>
      </w:r>
      <w:r>
        <w:rPr>
          <w:rFonts w:ascii="Times New Roman" w:eastAsia="宋体" w:hAnsi="Times New Roman" w:cs="Times New Roman"/>
          <w:color w:val="000000"/>
          <w:kern w:val="0"/>
          <w:sz w:val="24"/>
        </w:rPr>
        <w:instrText>"citationID":"2Rnw57RW","properties":{"formattedCitation":"\\super 5\\nosupersub{}","plainCitation":"5","noteIndex":0},"citationItems":[{"id":41,"uris":["http://zotero.org/users/local/4YXbPDcN/items/FYST7X68"],"itemData":{"id":41,"type":"article-journal","</w:instrText>
      </w:r>
      <w:r>
        <w:rPr>
          <w:rFonts w:ascii="Times New Roman" w:eastAsia="宋体" w:hAnsi="Times New Roman" w:cs="Times New Roman"/>
          <w:color w:val="000000"/>
          <w:kern w:val="0"/>
          <w:sz w:val="24"/>
        </w:rPr>
        <w:instrText>container-title":"Chemosphere","DOI":"10.1016/j.chemosphere.2018.06.077","ISSN":"00456535","journalAbbreviation":"Chemosphere","language":"en","page":"430-438","source":"DOI.org (Crossref)","title":"Evaluating the environmental parameters that determine ae</w:instrText>
      </w:r>
      <w:r>
        <w:rPr>
          <w:rFonts w:ascii="Times New Roman" w:eastAsia="宋体" w:hAnsi="Times New Roman" w:cs="Times New Roman"/>
          <w:color w:val="000000"/>
          <w:kern w:val="0"/>
          <w:sz w:val="24"/>
        </w:rPr>
        <w:instrText>robic biodegradation half-lives of pesticides in soil with a multivariable approach","volume":"209","author":[{"family":"Wang","given":"Yuxin"},{"family":"Lai","given":"Adelene"},{"family":"Latino","given":"Diogo"},{"family":"Fenner","given":"Kathrin"},{"f</w:instrText>
      </w:r>
      <w:r>
        <w:rPr>
          <w:rFonts w:ascii="Times New Roman" w:eastAsia="宋体" w:hAnsi="Times New Roman" w:cs="Times New Roman"/>
          <w:color w:val="000000"/>
          <w:kern w:val="0"/>
          <w:sz w:val="24"/>
        </w:rPr>
        <w:instrText xml:space="preserve">amily":"Helbling","given":"Damian E."}],"issued":{"date-parts":[["2018",10]]}}}],"schema":"https://github.com/citation-style-language/schema/raw/master/csl-citation.json"}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5</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Traditional machine learning and deep learning models have made some progress i</w:t>
      </w:r>
      <w:r>
        <w:rPr>
          <w:rFonts w:ascii="Times New Roman" w:eastAsia="宋体" w:hAnsi="Times New Roman" w:cs="Times New Roman"/>
          <w:color w:val="000000"/>
          <w:kern w:val="0"/>
          <w:sz w:val="24"/>
        </w:rPr>
        <w:t>n predicting the biodegradation half-lives of PFAS, but these models are often limited by insufficient data and constraints in feature extraction.</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{"citationID":"EaIg28si","properties":{"formattedCitation":"\\super 6\\nosuper</w:instrText>
      </w:r>
      <w:r>
        <w:rPr>
          <w:rFonts w:ascii="Times New Roman" w:eastAsia="宋体" w:hAnsi="Times New Roman" w:cs="Times New Roman"/>
          <w:color w:val="000000"/>
          <w:kern w:val="0"/>
          <w:sz w:val="24"/>
        </w:rPr>
        <w:instrText>sub{}","plainCitation":"6","noteIndex":0},"citationItems":[{"id":38,"uris":["http://zotero.org/users/local/4YXbPDcN/items/57F8NC9R"],"itemData":{"id":38,"type":"article-journal","container-title":"Environmental Science &amp; Technology","DOI":"10.1021/acs.est.</w:instrText>
      </w:r>
      <w:r>
        <w:rPr>
          <w:rFonts w:ascii="Times New Roman" w:eastAsia="宋体" w:hAnsi="Times New Roman" w:cs="Times New Roman"/>
          <w:color w:val="000000"/>
          <w:kern w:val="0"/>
          <w:sz w:val="24"/>
        </w:rPr>
        <w:instrText>1c01339","ISSN":"0013-936X, 1520-5851","journalAbbreviation":"Environ. Sci. Technol.","language":"en","page":"acs.est.1c01339","source":"DOI.org (Crossref)","title":"Machine Learning: New Ideas and Tools in Environmental Science and Engineering","title-sho</w:instrText>
      </w:r>
      <w:r>
        <w:rPr>
          <w:rFonts w:ascii="Times New Roman" w:eastAsia="宋体" w:hAnsi="Times New Roman" w:cs="Times New Roman"/>
          <w:color w:val="000000"/>
          <w:kern w:val="0"/>
          <w:sz w:val="24"/>
        </w:rPr>
        <w:instrText>rt":"Machine Learning","author":[{"family":"Zhong","given":"Shifa"},{"family":"Zhang","given":"Kai"},{"family":"Bagheri","given":"Majid"},{"family":"Burken","given":"Joel G."},{"family":"Gu","given":"April"},{"family":"Li","given":"Baikun"},{"family":"Ma",</w:instrText>
      </w:r>
      <w:r>
        <w:rPr>
          <w:rFonts w:ascii="Times New Roman" w:eastAsia="宋体" w:hAnsi="Times New Roman" w:cs="Times New Roman"/>
          <w:color w:val="000000"/>
          <w:kern w:val="0"/>
          <w:sz w:val="24"/>
        </w:rPr>
        <w:instrText>"given":"Xingmao"},{"family":"Marrone","given":"Babetta L."},{"family":"Ren","given":"Zhiyong Jason"},{"family":"Schrier","given":"Joshua"},{"family":"Shi","given":"Wei"},{"family":"Tan","given":"Haoyue"},{"family":"Wang","given":"Tianbao"},{"family":"Wang</w:instrText>
      </w:r>
      <w:r>
        <w:rPr>
          <w:rFonts w:ascii="Times New Roman" w:eastAsia="宋体" w:hAnsi="Times New Roman" w:cs="Times New Roman"/>
          <w:color w:val="000000"/>
          <w:kern w:val="0"/>
          <w:sz w:val="24"/>
        </w:rPr>
        <w:instrText>","given":"Xu"},{"family":"Wong","given":"Bryan M."},{"family":"Xiao","given":"Xusheng"},{"family":"Yu","given":"Xiong"},{"family":"Zhu","given":"Jun-Jie"},{"family":"Zhang","given":"Huichun"}],"issued":{"date-parts":[["2021",8,17]]}}}],"schema":"https://g</w:instrText>
      </w:r>
      <w:r>
        <w:rPr>
          <w:rFonts w:ascii="Times New Roman" w:eastAsia="宋体" w:hAnsi="Times New Roman" w:cs="Times New Roman"/>
          <w:color w:val="000000"/>
          <w:kern w:val="0"/>
          <w:sz w:val="24"/>
        </w:rPr>
        <w:instrText xml:space="preserve">ithub.com/citation-style-language/schema/raw/master/csl-citation.json"}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6</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In the field of machine learning, the development of Large Language Models (LLMs), also known as foundation models, is one of the most notable recent advancements.</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{"citationID":"APTIrs22","properties":{"formattedCitation":"</w:instrText>
      </w:r>
      <w:r>
        <w:rPr>
          <w:rFonts w:ascii="Times New Roman" w:eastAsia="宋体" w:hAnsi="Times New Roman" w:cs="Times New Roman"/>
          <w:color w:val="000000"/>
          <w:kern w:val="0"/>
          <w:sz w:val="24"/>
        </w:rPr>
        <w:instrText>\\super 7\\nosupersub{}","plainCitation":"7","noteIndex":0},"citationItems":[{"id":36,"uris":["http://zotero.org/users/local/4YXbPDcN/items/GYBR22T2"],"itemData":{"id":36,"type":"article","abstract":"AI is undergoing a paradigm shift with the rise of model</w:instrText>
      </w:r>
      <w:r>
        <w:rPr>
          <w:rFonts w:ascii="Times New Roman" w:eastAsia="宋体" w:hAnsi="Times New Roman" w:cs="Times New Roman"/>
          <w:color w:val="000000"/>
          <w:kern w:val="0"/>
          <w:sz w:val="24"/>
        </w:rPr>
        <w:instrText>s (e.g., BERT, DALL-E, GPT-3) that are trained on broad data at scale and are adaptable to a wide range of downstream tasks. We call these models foundation models to underscore their critically central yet incomplete character. This report provides a thor</w:instrText>
      </w:r>
      <w:r>
        <w:rPr>
          <w:rFonts w:ascii="Times New Roman" w:eastAsia="宋体" w:hAnsi="Times New Roman" w:cs="Times New Roman"/>
          <w:color w:val="000000"/>
          <w:kern w:val="0"/>
          <w:sz w:val="24"/>
        </w:rPr>
        <w:instrText>ough account of the opportunities and risks of foundation models, ranging from their capabilities (e.g., language, vision, robotics, reasoning, human interaction) and technical principles(e.g., model architectures, training procedures, data, systems, secur</w:instrText>
      </w:r>
      <w:r>
        <w:rPr>
          <w:rFonts w:ascii="Times New Roman" w:eastAsia="宋体" w:hAnsi="Times New Roman" w:cs="Times New Roman"/>
          <w:color w:val="000000"/>
          <w:kern w:val="0"/>
          <w:sz w:val="24"/>
        </w:rPr>
        <w:instrText>ity, evaluation, theory) to their applications (e.g., law, healthcare, education) and societal impact (e.g., inequity, misuse, economic and environmental impact, legal and ethical considerations). Though foundation models are based on standard deep learnin</w:instrText>
      </w:r>
      <w:r>
        <w:rPr>
          <w:rFonts w:ascii="Times New Roman" w:eastAsia="宋体" w:hAnsi="Times New Roman" w:cs="Times New Roman"/>
          <w:color w:val="000000"/>
          <w:kern w:val="0"/>
          <w:sz w:val="24"/>
        </w:rPr>
        <w:instrText>g and transfer learning, their scale results in new emergent capabilities,and their effectiveness across so many tasks incentivizes homogenization. Homogenization provides powerful leverage but demands caution, as the defects of the foundation model are in</w:instrText>
      </w:r>
      <w:r>
        <w:rPr>
          <w:rFonts w:ascii="Times New Roman" w:eastAsia="宋体" w:hAnsi="Times New Roman" w:cs="Times New Roman"/>
          <w:color w:val="000000"/>
          <w:kern w:val="0"/>
          <w:sz w:val="24"/>
        </w:rPr>
        <w:instrText>herited by all the adapted models downstream. Despite the impending widespread deployment of foundation models, we currently lack a clear understanding of how they work, when they fail, and what they are even capable of due to their emergent properties. To</w:instrText>
      </w:r>
      <w:r>
        <w:rPr>
          <w:rFonts w:ascii="Times New Roman" w:eastAsia="宋体" w:hAnsi="Times New Roman" w:cs="Times New Roman"/>
          <w:color w:val="000000"/>
          <w:kern w:val="0"/>
          <w:sz w:val="24"/>
        </w:rPr>
        <w:instrText xml:space="preserve"> tackle these questions, we believe much of the critical research on foundation models will require deep interdisciplinary collaboration commensurate with their fundamentally sociotechnical nature.","note":"arXiv:2108.07258 [cs]","number":"arXiv:2108.07258</w:instrText>
      </w:r>
      <w:r>
        <w:rPr>
          <w:rFonts w:ascii="Times New Roman" w:eastAsia="宋体" w:hAnsi="Times New Roman" w:cs="Times New Roman"/>
          <w:color w:val="000000"/>
          <w:kern w:val="0"/>
          <w:sz w:val="24"/>
        </w:rPr>
        <w:instrText>","publisher":"arXiv","source":"arXiv.org","title":"On the Opportunities and Risks of Foundation Models","URL":"http://arxiv.org/abs/2108.07258","author":[{"family":"Bommasani","given":"Rishi"},{"family":"Hudson","given":"Drew A."},{"family":"Adeli","given</w:instrText>
      </w:r>
      <w:r>
        <w:rPr>
          <w:rFonts w:ascii="Times New Roman" w:eastAsia="宋体" w:hAnsi="Times New Roman" w:cs="Times New Roman"/>
          <w:color w:val="000000"/>
          <w:kern w:val="0"/>
          <w:sz w:val="24"/>
        </w:rPr>
        <w:instrText>":"Ehsan"},{"family":"Altman","given":"Russ"},{"family":"Arora","given":"Simran"},{"family":"Arx","given":"Sydney","non-dropping-particle":"von"},{"family":"Bernstein","given":"Michael S."},{"family":"Bohg","given":"Jeannette"},{"family":"Bosselut","given"</w:instrText>
      </w:r>
      <w:r>
        <w:rPr>
          <w:rFonts w:ascii="Times New Roman" w:eastAsia="宋体" w:hAnsi="Times New Roman" w:cs="Times New Roman"/>
          <w:color w:val="000000"/>
          <w:kern w:val="0"/>
          <w:sz w:val="24"/>
        </w:rPr>
        <w:instrText>:"Antoine"},{"family":"Brunskill","given":"Emma"},{"family":"Brynjolfsson","given":"Erik"},{"family":"Buch","given":"Shyamal"},{"family":"Card","given":"Dallas"},{"family":"Castellon","given":"Rodrigo"},{"family":"Chatterji","given":"Niladri"},{"family":"C</w:instrText>
      </w:r>
      <w:r>
        <w:rPr>
          <w:rFonts w:ascii="Times New Roman" w:eastAsia="宋体" w:hAnsi="Times New Roman" w:cs="Times New Roman"/>
          <w:color w:val="000000"/>
          <w:kern w:val="0"/>
          <w:sz w:val="24"/>
        </w:rPr>
        <w:instrText>hen","given":"Annie"},{"family":"Creel","given":"Kathleen"},{"family":"Davis","given":"Jared Quincy"},{"family":"Demszky","given":"Dora"},{"family":"Donahue","given":"Chris"},{"family":"Doumbouya","given":"Moussa"},{"family":"Durmus","given":"Esin"},{"fami</w:instrText>
      </w:r>
      <w:r>
        <w:rPr>
          <w:rFonts w:ascii="Times New Roman" w:eastAsia="宋体" w:hAnsi="Times New Roman" w:cs="Times New Roman"/>
          <w:color w:val="000000"/>
          <w:kern w:val="0"/>
          <w:sz w:val="24"/>
        </w:rPr>
        <w:instrText>ly":"Ermon","given":"Stefano"},{"family":"Etchemendy","given":"John"},{"family":"Ethayarajh","given":"Kawin"},{"family":"Fei-Fei","given":"Li"},{"family":"Finn","given":"Chelsea"},{"family":"Gale","given":"Trevor"},{"family":"Gillespie","given":"Lauren"},{</w:instrText>
      </w:r>
      <w:r>
        <w:rPr>
          <w:rFonts w:ascii="Times New Roman" w:eastAsia="宋体" w:hAnsi="Times New Roman" w:cs="Times New Roman"/>
          <w:color w:val="000000"/>
          <w:kern w:val="0"/>
          <w:sz w:val="24"/>
        </w:rPr>
        <w:instrText>"family":"Goel","given":"Karan"},{"family":"Goodman","given":"Noah"},{"family":"Grossman","given":"Shelby"},{"family":"Guha","given":"Neel"},{"family":"Hashimoto","given":"Tatsunori"},{"family":"Henderson","given":"Peter"},{"family":"Hewitt","given":"John"</w:instrText>
      </w:r>
      <w:r>
        <w:rPr>
          <w:rFonts w:ascii="Times New Roman" w:eastAsia="宋体" w:hAnsi="Times New Roman" w:cs="Times New Roman"/>
          <w:color w:val="000000"/>
          <w:kern w:val="0"/>
          <w:sz w:val="24"/>
        </w:rPr>
        <w:instrText>},{"family":"Ho","given":"Daniel E."},{"family":"Hong","given":"Jenny"},{"family":"Hsu","given":"Kyle"},{"family":"Huang","given":"Jing"},{"family":"Icard","given":"Thomas"},{"family":"Jain","given":"Saahil"},{"family":"Jurafsky","given":"Dan"},{"family":"</w:instrText>
      </w:r>
      <w:r>
        <w:rPr>
          <w:rFonts w:ascii="Times New Roman" w:eastAsia="宋体" w:hAnsi="Times New Roman" w:cs="Times New Roman"/>
          <w:color w:val="000000"/>
          <w:kern w:val="0"/>
          <w:sz w:val="24"/>
        </w:rPr>
        <w:instrText>Kalluri","given":"Pratyusha"},{"family":"Karamcheti","given":"Siddharth"},{"family":"Keeling","given":"Geoff"},{"family":"Khani","given":"Fereshte"},{"family":"Khattab","given":"Omar"},{"family":"Koh","given":"Pang Wei"},{"family":"Krass","given":"Mark"},{</w:instrText>
      </w:r>
      <w:r>
        <w:rPr>
          <w:rFonts w:ascii="Times New Roman" w:eastAsia="宋体" w:hAnsi="Times New Roman" w:cs="Times New Roman"/>
          <w:color w:val="000000"/>
          <w:kern w:val="0"/>
          <w:sz w:val="24"/>
        </w:rPr>
        <w:instrText>"family":"Krishna","given":"Ranjay"},{"family":"Kuditipudi","given":"Rohith"},{"family":"Kumar","given":"Ananya"},{"family":"Ladhak","given":"Faisal"},{"family":"Lee","given":"Mina"},{"family":"Lee","given":"Tony"},{"family":"Leskovec","given":"Jure"},{"fa</w:instrText>
      </w:r>
      <w:r>
        <w:rPr>
          <w:rFonts w:ascii="Times New Roman" w:eastAsia="宋体" w:hAnsi="Times New Roman" w:cs="Times New Roman"/>
          <w:color w:val="000000"/>
          <w:kern w:val="0"/>
          <w:sz w:val="24"/>
        </w:rPr>
        <w:instrText>mily":"Levent","given":"Isabelle"},{"family":"Li","given":"Xiang Lisa"},{"family":"Li","given":"Xuechen"},{"family":"Ma","given":"Tengyu"},{"family":"Malik","given":"Ali"},{"family":"Manning","given":"Christopher D."},{"family":"Mirchandani","given":"Suvir</w:instrText>
      </w:r>
      <w:r>
        <w:rPr>
          <w:rFonts w:ascii="Times New Roman" w:eastAsia="宋体" w:hAnsi="Times New Roman" w:cs="Times New Roman"/>
          <w:color w:val="000000"/>
          <w:kern w:val="0"/>
          <w:sz w:val="24"/>
        </w:rPr>
        <w:instrText>"},{"family":"Mitchell","given":"Eric"},{"family":"Munyikwa","given":"Zanele"},{"family":"Nair","given":"Suraj"},{"family":"Narayan","given":"Avanika"},{"family":"Narayanan","given":"Deepak"},{"family":"Newman","given":"Ben"},{"family":"Nie","given":"Allen</w:instrText>
      </w:r>
      <w:r>
        <w:rPr>
          <w:rFonts w:ascii="Times New Roman" w:eastAsia="宋体" w:hAnsi="Times New Roman" w:cs="Times New Roman"/>
          <w:color w:val="000000"/>
          <w:kern w:val="0"/>
          <w:sz w:val="24"/>
        </w:rPr>
        <w:instrText>"},{"family":"Niebles","given":"Juan Carlos"},{"family":"Nilforoshan","given":"Hamed"},{"family":"Nyarko","given":"Julian"},{"family":"Ogut","given":"Giray"},{"family":"Orr","given":"Laurel"},{"family":"Papadimitriou","given":"Isabel"},{"family":"Park","gi</w:instrText>
      </w:r>
      <w:r>
        <w:rPr>
          <w:rFonts w:ascii="Times New Roman" w:eastAsia="宋体" w:hAnsi="Times New Roman" w:cs="Times New Roman"/>
          <w:color w:val="000000"/>
          <w:kern w:val="0"/>
          <w:sz w:val="24"/>
        </w:rPr>
        <w:instrText>ven":"Joon Sung"},{"family":"Piech","given":"Chris"},{"family":"Portelance","given":"Eva"},{"family":"Potts","given":"Christopher"},{"family":"Raghunathan","given":"Aditi"},{"family":"Reich","given":"Rob"},{"family":"Ren","given":"Hongyu"},{"family":"Rong"</w:instrText>
      </w:r>
      <w:r>
        <w:rPr>
          <w:rFonts w:ascii="Times New Roman" w:eastAsia="宋体" w:hAnsi="Times New Roman" w:cs="Times New Roman"/>
          <w:color w:val="000000"/>
          <w:kern w:val="0"/>
          <w:sz w:val="24"/>
        </w:rPr>
        <w:instrText>,"given":"Frieda"},{"family":"Roohani","given":"Yusuf"},{"family":"Ruiz","given":"Camilo"},{"family":"Ryan","given":"Jack"},{"family":"Ré","given":"Christopher"},{"family":"Sadigh","given":"Dorsa"},{"family":"Sagawa","given":"Shiori"},{"family":"Santhanam"</w:instrText>
      </w:r>
      <w:r>
        <w:rPr>
          <w:rFonts w:ascii="Times New Roman" w:eastAsia="宋体" w:hAnsi="Times New Roman" w:cs="Times New Roman"/>
          <w:color w:val="000000"/>
          <w:kern w:val="0"/>
          <w:sz w:val="24"/>
        </w:rPr>
        <w:instrText>,"given":"Keshav"},{"family":"Shih","given":"Andy"},{"family":"Srinivasan","given":"Krishnan"},{"family":"Tamkin","given":"Alex"},{"family":"Taori","given":"Rohan"},{"family":"Thomas","given":"Armin W."},{"family":"Tramèr","given":"Florian"},{"family":"Wan</w:instrText>
      </w:r>
      <w:r>
        <w:rPr>
          <w:rFonts w:ascii="Times New Roman" w:eastAsia="宋体" w:hAnsi="Times New Roman" w:cs="Times New Roman"/>
          <w:color w:val="000000"/>
          <w:kern w:val="0"/>
          <w:sz w:val="24"/>
        </w:rPr>
        <w:instrText>g","given":"Rose E."},{"family":"Wang","given":"William"},{"family":"Wu","given":"Bohan"},{"family":"Wu","given":"Jiajun"},{"family":"Wu","given":"Yuhuai"},{"family":"Xie","given":"Sang Michael"},{"family":"Yasunaga","given":"Michihiro"},{"family":"You","g</w:instrText>
      </w:r>
      <w:r>
        <w:rPr>
          <w:rFonts w:ascii="Times New Roman" w:eastAsia="宋体" w:hAnsi="Times New Roman" w:cs="Times New Roman"/>
          <w:color w:val="000000"/>
          <w:kern w:val="0"/>
          <w:sz w:val="24"/>
        </w:rPr>
        <w:instrText>iven":"Jiaxuan"},{"family":"Zaharia","given":"Matei"},{"family":"Zhang","given":"Michael"},{"family":"Zhang","given":"Tianyi"},{"family":"Zhang","given":"Xikun"},{"family":"Zhang","given":"Yuhui"},{"family":"Zheng","given":"Lucia"},{"family":"Zhou","given"</w:instrText>
      </w:r>
      <w:r>
        <w:rPr>
          <w:rFonts w:ascii="Times New Roman" w:eastAsia="宋体" w:hAnsi="Times New Roman" w:cs="Times New Roman"/>
          <w:color w:val="000000"/>
          <w:kern w:val="0"/>
          <w:sz w:val="24"/>
        </w:rPr>
        <w:instrText xml:space="preserve">:"Kaitlyn"},{"family":"Liang","given":"Percy"}],"accessed":{"date-parts":[["2024",2,24]]},"issued":{"date-parts":[["2022",7,12]]}}}],"schema":"https://github.com/citation-style-language/schema/raw/master/csl-citation.json"}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7</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These models have garnered </w:t>
      </w:r>
      <w:r>
        <w:rPr>
          <w:rFonts w:ascii="Times New Roman" w:eastAsia="宋体" w:hAnsi="Times New Roman" w:cs="Times New Roman"/>
          <w:color w:val="000000"/>
          <w:kern w:val="0"/>
          <w:sz w:val="24"/>
        </w:rPr>
        <w:t xml:space="preserve">widespread attention primarily due to their concise yet powerful processing capabilities: for any text prompt, whether a phrase or a sentence, these models can generate corresponding text responses in natural language. It is noteworthy </w:t>
      </w:r>
      <w:r>
        <w:rPr>
          <w:rFonts w:ascii="Times New Roman" w:eastAsia="宋体" w:hAnsi="Times New Roman" w:cs="Times New Roman"/>
          <w:color w:val="000000"/>
          <w:kern w:val="0"/>
          <w:sz w:val="24"/>
        </w:rPr>
        <w:lastRenderedPageBreak/>
        <w:t xml:space="preserve">that the quality of </w:t>
      </w:r>
      <w:r>
        <w:rPr>
          <w:rFonts w:ascii="Times New Roman" w:eastAsia="宋体" w:hAnsi="Times New Roman" w:cs="Times New Roman"/>
          <w:color w:val="000000"/>
          <w:kern w:val="0"/>
          <w:sz w:val="24"/>
        </w:rPr>
        <w:t>the generated text is so high that it is often indistinguishable from human writing, a reality in many cases. Currently, we are just beginning to perceive the impact of this technology, with numerous startups focusing on developing specific applications. F</w:t>
      </w:r>
      <w:r>
        <w:rPr>
          <w:rFonts w:ascii="Times New Roman" w:eastAsia="宋体" w:hAnsi="Times New Roman" w:cs="Times New Roman"/>
          <w:color w:val="000000"/>
          <w:kern w:val="0"/>
          <w:sz w:val="24"/>
        </w:rPr>
        <w:t>rom a scientific standpoint, one of the significant applications of these foundational models is their ability to write coherent summaries for scientific articles and even code for specific programming tasks. Recent studies have also shown that these model</w:t>
      </w:r>
      <w:r>
        <w:rPr>
          <w:rFonts w:ascii="Times New Roman" w:eastAsia="宋体" w:hAnsi="Times New Roman" w:cs="Times New Roman"/>
          <w:color w:val="000000"/>
          <w:kern w:val="0"/>
          <w:sz w:val="24"/>
        </w:rPr>
        <w:t>s can handle relatively simple tabular regression and classification tasks,</w:t>
      </w:r>
      <w:r>
        <w:rPr>
          <w:rFonts w:ascii="Times New Roman" w:eastAsia="宋体" w:hAnsi="Times New Roman" w:cs="Times New Roman"/>
          <w:color w:val="000000"/>
          <w:kern w:val="0"/>
          <w:sz w:val="24"/>
        </w:rPr>
        <w:fldChar w:fldCharType="begin"/>
      </w:r>
      <w:r>
        <w:rPr>
          <w:rFonts w:ascii="Times New Roman" w:eastAsia="宋体" w:hAnsi="Times New Roman" w:cs="Times New Roman"/>
          <w:color w:val="000000"/>
          <w:kern w:val="0"/>
          <w:sz w:val="24"/>
        </w:rPr>
        <w:instrText xml:space="preserve"> ADDIN ZOTERO_ITEM CSL_CITATION {"citationID":"kzz4z6kD","properties":{"formattedCitation":"\\super 8\\uc0\\u8211{}10\\nosupersub{}","plainCitation":"8–10","noteIndex":0},"citationI</w:instrText>
      </w:r>
      <w:r>
        <w:rPr>
          <w:rFonts w:ascii="Times New Roman" w:eastAsia="宋体" w:hAnsi="Times New Roman" w:cs="Times New Roman"/>
          <w:color w:val="000000"/>
          <w:kern w:val="0"/>
          <w:sz w:val="24"/>
        </w:rPr>
        <w:instrText>tems":[{"id":35,"uris":["http://zotero.org/users/local/4YXbPDcN/items/V6DW7H4I"],"itemData":{"id":35,"type":"article-journal","abstract":"Fine-tuning pretrained language models (LMs) without making any architectural changes has become a norm for learning v</w:instrText>
      </w:r>
      <w:r>
        <w:rPr>
          <w:rFonts w:ascii="Times New Roman" w:eastAsia="宋体" w:hAnsi="Times New Roman" w:cs="Times New Roman"/>
          <w:color w:val="000000"/>
          <w:kern w:val="0"/>
          <w:sz w:val="24"/>
        </w:rPr>
        <w:instrText>arious language downstream tasks. However, for non-language downstream tasks, a common practice is to employ task-speciﬁc designs for input, output layers, and loss functions. For instance, it is possible to ﬁne-tune an LM into an MNIST classiﬁer by replac</w:instrText>
      </w:r>
      <w:r>
        <w:rPr>
          <w:rFonts w:ascii="Times New Roman" w:eastAsia="宋体" w:hAnsi="Times New Roman" w:cs="Times New Roman"/>
          <w:color w:val="000000"/>
          <w:kern w:val="0"/>
          <w:sz w:val="24"/>
        </w:rPr>
        <w:instrText>ing the word embedding layer with an image patch embedding layer, the word token output layer with a 10-way output layer, and the word prediction loss with a 10-way classiﬁcation loss, respectively. A natural question arises: Can LM ﬁne-tuning solve non-la</w:instrText>
      </w:r>
      <w:r>
        <w:rPr>
          <w:rFonts w:ascii="Times New Roman" w:eastAsia="宋体" w:hAnsi="Times New Roman" w:cs="Times New Roman"/>
          <w:color w:val="000000"/>
          <w:kern w:val="0"/>
          <w:sz w:val="24"/>
        </w:rPr>
        <w:instrText xml:space="preserve">nguage downstream tasks without changing the model architecture or loss function? To answer this, we propose Language-Interfaced Fine-Tuning (LIFT) and study its efﬁcacy and limitations by conducting an extensive empirical study on a suite of non-language </w:instrText>
      </w:r>
      <w:r>
        <w:rPr>
          <w:rFonts w:ascii="Times New Roman" w:eastAsia="宋体" w:hAnsi="Times New Roman" w:cs="Times New Roman"/>
          <w:color w:val="000000"/>
          <w:kern w:val="0"/>
          <w:sz w:val="24"/>
        </w:rPr>
        <w:instrText>classiﬁcation and regression tasks. LIFT does not make any changes to the model architecture or loss function, and it solely relies on the natural language interface, enabling “no-code machine learning with LMs.” We ﬁnd that LIFT performs comparably well a</w:instrText>
      </w:r>
      <w:r>
        <w:rPr>
          <w:rFonts w:ascii="Times New Roman" w:eastAsia="宋体" w:hAnsi="Times New Roman" w:cs="Times New Roman"/>
          <w:color w:val="000000"/>
          <w:kern w:val="0"/>
          <w:sz w:val="24"/>
        </w:rPr>
        <w:instrText>cross a wide range of low-dimensional classiﬁcation and regression tasks, matching the performances of the best baselines in many cases, especially for the classiﬁcation tasks. We also report experimental results on the fundamental properties of LIFT, incl</w:instrText>
      </w:r>
      <w:r>
        <w:rPr>
          <w:rFonts w:ascii="Times New Roman" w:eastAsia="宋体" w:hAnsi="Times New Roman" w:cs="Times New Roman"/>
          <w:color w:val="000000"/>
          <w:kern w:val="0"/>
          <w:sz w:val="24"/>
        </w:rPr>
        <w:instrText>uding inductive bias, robustness, and sample complexity. We also analyze the effect of pretraining on LIFT and a few properties/techniques speciﬁc to LIFT, e.g., context-aware learning via appropriate prompting, calibrated predictions, data generation, and</w:instrText>
      </w:r>
      <w:r>
        <w:rPr>
          <w:rFonts w:ascii="Times New Roman" w:eastAsia="宋体" w:hAnsi="Times New Roman" w:cs="Times New Roman"/>
          <w:color w:val="000000"/>
          <w:kern w:val="0"/>
          <w:sz w:val="24"/>
        </w:rPr>
        <w:instrText xml:space="preserve"> two-stage ﬁnetuning. Our code is available at https://github.com/UW-Madison-Lee-Lab/ LanguageInterfacedFineTuning.","language":"en","source":"Zotero","title":"LIFT: Language-Interfaced Fine-Tuning for Non-Language Machine Learning Tasks","author":[{"famil</w:instrText>
      </w:r>
      <w:r>
        <w:rPr>
          <w:rFonts w:ascii="Times New Roman" w:eastAsia="宋体" w:hAnsi="Times New Roman" w:cs="Times New Roman"/>
          <w:color w:val="000000"/>
          <w:kern w:val="0"/>
          <w:sz w:val="24"/>
        </w:rPr>
        <w:instrText>y":"Dinh","given":"Tuan"},{"family":"Zeng","given":"Yuchen"},{"family":"Zhang","given":"Ruisu"},{"family":"Lin","given":"Ziqian"},{"family":"Gira","given":"Michael"},{"family":"Rajput","given":"Shashank"},{"family":"Sohn","given":"Jy-yong"},{"family":"Papa</w:instrText>
      </w:r>
      <w:r>
        <w:rPr>
          <w:rFonts w:ascii="Times New Roman" w:eastAsia="宋体" w:hAnsi="Times New Roman" w:cs="Times New Roman"/>
          <w:color w:val="000000"/>
          <w:kern w:val="0"/>
          <w:sz w:val="24"/>
        </w:rPr>
        <w:instrText>iliopoulos","given":"Dimitris"},{"family":"Lee","given":"Kangwook"}]},"label":"page"},{"id":31,"uris":["http://zotero.org/users/local/4YXbPDcN/items/BS9AZLBC"],"itemData":{"id":31,"type":"article-journal","abstract":"Natural language processing models have</w:instrText>
      </w:r>
      <w:r>
        <w:rPr>
          <w:rFonts w:ascii="Times New Roman" w:eastAsia="宋体" w:hAnsi="Times New Roman" w:cs="Times New Roman"/>
          <w:color w:val="000000"/>
          <w:kern w:val="0"/>
          <w:sz w:val="24"/>
        </w:rPr>
        <w:instrText xml:space="preserve"> emerged that can generate useable software and automate a number of programming tasks with high fidelity.\n          , \n            Natural language processing models have emerged that can generate useable software and automate a number of programming ta</w:instrText>
      </w:r>
      <w:r>
        <w:rPr>
          <w:rFonts w:ascii="Times New Roman" w:eastAsia="宋体" w:hAnsi="Times New Roman" w:cs="Times New Roman"/>
          <w:color w:val="000000"/>
          <w:kern w:val="0"/>
          <w:sz w:val="24"/>
        </w:rPr>
        <w:instrText>sks with high fidelity. These tools have yet to have an impact on the chemistry community. Yet, our initial testing demonstrates that this form of artificial intelligence is poised to transform chemistry and chemical engineering research. Here, we review d</w:instrText>
      </w:r>
      <w:r>
        <w:rPr>
          <w:rFonts w:ascii="Times New Roman" w:eastAsia="宋体" w:hAnsi="Times New Roman" w:cs="Times New Roman"/>
          <w:color w:val="000000"/>
          <w:kern w:val="0"/>
          <w:sz w:val="24"/>
        </w:rPr>
        <w:instrText>evelopments that brought us to this point, examine applications in chemistry, and give our perspective on how this may fundamentally alter research and teaching.","container-title":"Digital Discovery","DOI":"10.1039/D1DD00009H","ISSN":"2635-098X","issue":"</w:instrText>
      </w:r>
      <w:r>
        <w:rPr>
          <w:rFonts w:ascii="Times New Roman" w:eastAsia="宋体" w:hAnsi="Times New Roman" w:cs="Times New Roman"/>
          <w:color w:val="000000"/>
          <w:kern w:val="0"/>
          <w:sz w:val="24"/>
        </w:rPr>
        <w:instrText>2","journalAbbreviation":"Digital Discovery","language":"en","page":"79-83","source":"DOI.org (Crossref)","title":"Natural language processing models that automate programming will transform chemistry research and teaching","volume":"1","author":[{"family"</w:instrText>
      </w:r>
      <w:r>
        <w:rPr>
          <w:rFonts w:ascii="Times New Roman" w:eastAsia="宋体" w:hAnsi="Times New Roman" w:cs="Times New Roman"/>
          <w:color w:val="000000"/>
          <w:kern w:val="0"/>
          <w:sz w:val="24"/>
        </w:rPr>
        <w:instrText>:"Hocky","given":"Glen M."},{"family":"White","given":"Andrew D."}],"issued":{"date-parts":[["2022"]]}},"label":"page"},{"id":29,"uris":["http://zotero.org/users/local/4YXbPDcN/items/NQEHIFE9"],"itemData":{"id":29,"type":"article","abstract":"We present $\</w:instrText>
      </w:r>
      <w:r>
        <w:rPr>
          <w:rFonts w:ascii="Times New Roman" w:eastAsia="宋体" w:hAnsi="Times New Roman" w:cs="Times New Roman"/>
          <w:color w:val="000000"/>
          <w:kern w:val="0"/>
          <w:sz w:val="24"/>
        </w:rPr>
        <w:instrText>\textbf{MolT5}$ $-$ a self-supervised learning framework for pretraining models on a vast amount of unlabeled natural language text and molecule strings. $\\textbf{MolT5}$ allows for new, useful, and challenging analogs of traditional vision-language tasks</w:instrText>
      </w:r>
      <w:r>
        <w:rPr>
          <w:rFonts w:ascii="Times New Roman" w:eastAsia="宋体" w:hAnsi="Times New Roman" w:cs="Times New Roman"/>
          <w:color w:val="000000"/>
          <w:kern w:val="0"/>
          <w:sz w:val="24"/>
        </w:rPr>
        <w:instrText>, such as molecule captioning and text-based de novo molecule generation (altogether: translation between molecules and language), which we explore for the first time. Since $\\textbf{MolT5}$ pretrains models on single-modal data, it helps overcome the che</w:instrText>
      </w:r>
      <w:r>
        <w:rPr>
          <w:rFonts w:ascii="Times New Roman" w:eastAsia="宋体" w:hAnsi="Times New Roman" w:cs="Times New Roman"/>
          <w:color w:val="000000"/>
          <w:kern w:val="0"/>
          <w:sz w:val="24"/>
        </w:rPr>
        <w:instrText>mistry domain shortcoming of data scarcity. Furthermore, we consider several metrics, including a new cross-modal embedding-based metric, to evaluate the tasks of molecule captioning and text-based molecule generation. Our results show that $\\textbf{MolT5</w:instrText>
      </w:r>
      <w:r>
        <w:rPr>
          <w:rFonts w:ascii="Times New Roman" w:eastAsia="宋体" w:hAnsi="Times New Roman" w:cs="Times New Roman"/>
          <w:color w:val="000000"/>
          <w:kern w:val="0"/>
          <w:sz w:val="24"/>
        </w:rPr>
        <w:instrText>}$-based models are able to generate outputs, both molecules and captions, which in many cases are high quality.","note":"arXiv:2204.11817 [cs]","number":"arXiv:2204.11817","publisher":"arXiv","source":"arXiv.org","title":"Translation between Molecules and</w:instrText>
      </w:r>
      <w:r>
        <w:rPr>
          <w:rFonts w:ascii="Times New Roman" w:eastAsia="宋体" w:hAnsi="Times New Roman" w:cs="Times New Roman"/>
          <w:color w:val="000000"/>
          <w:kern w:val="0"/>
          <w:sz w:val="24"/>
        </w:rPr>
        <w:instrText xml:space="preserve"> Natural Language","URL":"http://arxiv.org/abs/2204.11817","author":[{"family":"Edwards","given":"Carl"},{"family":"Lai","given":"Tuan"},{"family":"Ros","given":"Kevin"},{"family":"Honke","given":"Garrett"},{"family":"Cho","given":"Kyunghyun"},{"family":"J</w:instrText>
      </w:r>
      <w:r>
        <w:rPr>
          <w:rFonts w:ascii="Times New Roman" w:eastAsia="宋体" w:hAnsi="Times New Roman" w:cs="Times New Roman"/>
          <w:color w:val="000000"/>
          <w:kern w:val="0"/>
          <w:sz w:val="24"/>
        </w:rPr>
        <w:instrText xml:space="preserve">i","given":"Heng"}],"accessed":{"date-parts":[["2024",2,24]]},"issued":{"date-parts":[["2022",11,3]]}},"label":"page"}],"schema":"https://github.com/citation-style-language/schema/raw/master/csl-citation.json"} </w:instrText>
      </w:r>
      <w:r>
        <w:rPr>
          <w:rFonts w:ascii="Times New Roman" w:eastAsia="宋体" w:hAnsi="Times New Roman" w:cs="Times New Roman"/>
          <w:color w:val="000000"/>
          <w:kern w:val="0"/>
          <w:sz w:val="24"/>
        </w:rPr>
        <w:fldChar w:fldCharType="separate"/>
      </w:r>
      <w:r>
        <w:rPr>
          <w:rFonts w:ascii="Times New Roman" w:hAnsi="Times New Roman" w:cs="Times New Roman"/>
          <w:kern w:val="0"/>
          <w:sz w:val="24"/>
          <w:szCs w:val="24"/>
          <w:vertAlign w:val="superscript"/>
        </w:rPr>
        <w:t>8–10</w:t>
      </w:r>
      <w:r>
        <w:rPr>
          <w:rFonts w:ascii="Times New Roman" w:eastAsia="宋体" w:hAnsi="Times New Roman" w:cs="Times New Roman"/>
          <w:color w:val="000000"/>
          <w:kern w:val="0"/>
          <w:sz w:val="24"/>
        </w:rPr>
        <w:fldChar w:fldCharType="end"/>
      </w:r>
      <w:r>
        <w:rPr>
          <w:rFonts w:ascii="Times New Roman" w:eastAsia="宋体" w:hAnsi="Times New Roman" w:cs="Times New Roman"/>
          <w:color w:val="000000"/>
          <w:kern w:val="0"/>
          <w:sz w:val="24"/>
        </w:rPr>
        <w:t xml:space="preserve"> despite not being explicitly trained </w:t>
      </w:r>
      <w:r>
        <w:rPr>
          <w:rFonts w:ascii="Times New Roman" w:eastAsia="宋体" w:hAnsi="Times New Roman" w:cs="Times New Roman"/>
          <w:color w:val="000000"/>
          <w:kern w:val="0"/>
          <w:sz w:val="24"/>
        </w:rPr>
        <w:t>for these tasks, a point that remains particularly striking. These models demonstrate the ability to solve simple tasks, even without targeted training, raising a question: can these models also address unanswered questions in the scientific domain? Consid</w:t>
      </w:r>
      <w:r>
        <w:rPr>
          <w:rFonts w:ascii="Times New Roman" w:eastAsia="宋体" w:hAnsi="Times New Roman" w:cs="Times New Roman"/>
          <w:color w:val="000000"/>
          <w:kern w:val="0"/>
          <w:sz w:val="24"/>
        </w:rPr>
        <w:t>ering that most questions in the environmental field can be expressed in text form, we should be able to train these models to answer questions posed by scientists.</w:t>
      </w:r>
      <w:r>
        <w:rPr>
          <w:rFonts w:ascii="Times New Roman" w:eastAsia="宋体" w:hAnsi="Times New Roman" w:cs="Times New Roman"/>
          <w:color w:val="000000" w:themeColor="text1"/>
          <w:kern w:val="0"/>
          <w:sz w:val="24"/>
        </w:rPr>
        <w:t xml:space="preserve"> For instance, questions like 'Can this pollutant be degraded?' or 'What is the Chemical Oxy</w:t>
      </w:r>
      <w:r>
        <w:rPr>
          <w:rFonts w:ascii="Times New Roman" w:eastAsia="宋体" w:hAnsi="Times New Roman" w:cs="Times New Roman"/>
          <w:color w:val="000000" w:themeColor="text1"/>
          <w:kern w:val="0"/>
          <w:sz w:val="24"/>
        </w:rPr>
        <w:t>gen Demand (COD) of these waste?' are typically not answerable by theory alone or require highly complex simulations or experiments.Inspired by this,</w:t>
      </w:r>
      <w:r>
        <w:rPr>
          <w:rFonts w:ascii="Times New Roman" w:eastAsia="宋体" w:hAnsi="Times New Roman" w:cs="Times New Roman" w:hint="eastAsia"/>
          <w:color w:val="000000"/>
          <w:kern w:val="0"/>
          <w:sz w:val="24"/>
        </w:rPr>
        <w:t>we</w:t>
      </w:r>
      <w:r>
        <w:rPr>
          <w:rFonts w:ascii="Times New Roman" w:eastAsia="宋体" w:hAnsi="Times New Roman" w:cs="Times New Roman"/>
          <w:color w:val="FF0000"/>
          <w:kern w:val="0"/>
          <w:sz w:val="24"/>
        </w:rPr>
        <w:t xml:space="preserve"> </w:t>
      </w:r>
      <w:r>
        <w:rPr>
          <w:rFonts w:ascii="Times New Roman" w:eastAsia="宋体" w:hAnsi="Times New Roman" w:cs="Times New Roman"/>
          <w:color w:val="000000"/>
          <w:kern w:val="0"/>
          <w:sz w:val="24"/>
        </w:rPr>
        <w:t>adopted a novel approach: by fine-tuning large language models, we achieved a significant breakthrough i</w:t>
      </w:r>
      <w:r>
        <w:rPr>
          <w:rFonts w:ascii="Times New Roman" w:eastAsia="宋体" w:hAnsi="Times New Roman" w:cs="Times New Roman"/>
          <w:color w:val="000000"/>
          <w:kern w:val="0"/>
          <w:sz w:val="24"/>
        </w:rPr>
        <w:t xml:space="preserve">n predicting the biodegradation half-lives of PFAS. We also employed other machine learning methods to predict the biodegradation half-lives of PFAS as a benchmark test. We found that, in zero-shot or low-shot learning scenarios, this method could surpass </w:t>
      </w:r>
      <w:r>
        <w:rPr>
          <w:rFonts w:ascii="Times New Roman" w:eastAsia="宋体" w:hAnsi="Times New Roman" w:cs="Times New Roman"/>
          <w:color w:val="000000"/>
          <w:kern w:val="0"/>
          <w:sz w:val="24"/>
        </w:rPr>
        <w:t xml:space="preserve">traditional models, providing more accurate and reliable prediction results. In addition, we discussed the applicability and interpretability of the model. This study focuses on the biodegradation </w:t>
      </w:r>
      <w:r>
        <w:rPr>
          <w:rFonts w:ascii="Times New Roman" w:eastAsia="宋体" w:hAnsi="Times New Roman" w:cs="Times New Roman"/>
          <w:color w:val="000000"/>
          <w:kern w:val="0"/>
          <w:sz w:val="24"/>
        </w:rPr>
        <w:lastRenderedPageBreak/>
        <w:t>of PFAS, marking the first application of large language mo</w:t>
      </w:r>
      <w:r>
        <w:rPr>
          <w:rFonts w:ascii="Times New Roman" w:eastAsia="宋体" w:hAnsi="Times New Roman" w:cs="Times New Roman"/>
          <w:color w:val="000000"/>
          <w:kern w:val="0"/>
          <w:sz w:val="24"/>
        </w:rPr>
        <w:t>dels in the field of environmental science. By appropriately fine-tuning the model, we were able to leverage its powerful semantic understanding and pattern recognition capabilities to capture the complex biochemical processes associated with PFAS degradat</w:t>
      </w:r>
      <w:r>
        <w:rPr>
          <w:rFonts w:ascii="Times New Roman" w:eastAsia="宋体" w:hAnsi="Times New Roman" w:cs="Times New Roman"/>
          <w:color w:val="000000"/>
          <w:kern w:val="0"/>
          <w:sz w:val="24"/>
        </w:rPr>
        <w:t>ion. Furthermore, the ability of large language models to handle sparse datasets reveals their significant potential in data-limited applications in environmental science. In summary, this study not only provides a new technological approach for the accura</w:t>
      </w:r>
      <w:r>
        <w:rPr>
          <w:rFonts w:ascii="Times New Roman" w:eastAsia="宋体" w:hAnsi="Times New Roman" w:cs="Times New Roman"/>
          <w:color w:val="000000"/>
          <w:kern w:val="0"/>
          <w:sz w:val="24"/>
        </w:rPr>
        <w:t>te prediction of PFAS biodegradation half-lives but also opens up new research directions in using large language models to address environmental science issues. In future work, we will further explore the potential of this approach in fields such as envir</w:t>
      </w:r>
      <w:r>
        <w:rPr>
          <w:rFonts w:ascii="Times New Roman" w:eastAsia="宋体" w:hAnsi="Times New Roman" w:cs="Times New Roman"/>
          <w:color w:val="000000"/>
          <w:kern w:val="0"/>
          <w:sz w:val="24"/>
        </w:rPr>
        <w:t>onmental monitoring, pollutant tracking, and ecological risk assessment.</w:t>
      </w:r>
    </w:p>
    <w:p w14:paraId="2934C449" w14:textId="77777777" w:rsidR="000F3761" w:rsidRDefault="00AB3A62">
      <w:pPr>
        <w:spacing w:line="480" w:lineRule="auto"/>
        <w:rPr>
          <w:rFonts w:ascii="Times New Roman" w:eastAsia="宋体" w:hAnsi="Times New Roman" w:cs="Times New Roman"/>
          <w:b/>
          <w:caps/>
          <w:color w:val="000000"/>
          <w:kern w:val="0"/>
          <w:sz w:val="24"/>
          <w:szCs w:val="24"/>
        </w:rPr>
      </w:pPr>
      <w:r>
        <w:rPr>
          <w:rFonts w:ascii="Times New Roman" w:eastAsia="宋体" w:hAnsi="Times New Roman" w:cs="Times New Roman"/>
          <w:b/>
          <w:caps/>
          <w:color w:val="000000"/>
          <w:kern w:val="0"/>
          <w:sz w:val="24"/>
          <w:szCs w:val="24"/>
        </w:rPr>
        <w:t>Material and method</w:t>
      </w:r>
    </w:p>
    <w:p w14:paraId="685ADFDC" w14:textId="77777777" w:rsidR="000F3761" w:rsidRDefault="00AB3A62">
      <w:pPr>
        <w:pStyle w:val="msolistparagraph0"/>
        <w:widowControl/>
        <w:spacing w:line="480" w:lineRule="auto"/>
        <w:ind w:firstLineChars="100" w:firstLine="241"/>
        <w:outlineLvl w:val="1"/>
        <w:rPr>
          <w:color w:val="000000"/>
          <w:kern w:val="0"/>
        </w:rPr>
      </w:pPr>
      <w:r>
        <w:rPr>
          <w:b/>
          <w:bCs/>
        </w:rPr>
        <w:t xml:space="preserve">Data set and data preprocessing. </w:t>
      </w:r>
      <w:r>
        <w:rPr>
          <w:color w:val="000000"/>
          <w:kern w:val="0"/>
        </w:rPr>
        <w:t>We obtained the DTXSIDs</w:t>
      </w:r>
      <w:r>
        <w:rPr>
          <w:color w:val="000000"/>
          <w:kern w:val="0"/>
        </w:rPr>
        <w:t xml:space="preserve"> (</w:t>
      </w:r>
      <w:r>
        <w:rPr>
          <w:color w:val="000000"/>
          <w:kern w:val="0"/>
        </w:rPr>
        <w:t>Distributed Structure-Searchable Toxicity Substance Identifier</w:t>
      </w:r>
      <w:r>
        <w:rPr>
          <w:color w:val="000000"/>
          <w:kern w:val="0"/>
        </w:rPr>
        <w:t xml:space="preserve"> </w:t>
      </w:r>
      <w:r>
        <w:rPr>
          <w:color w:val="000000"/>
          <w:kern w:val="0"/>
        </w:rPr>
        <w:t>)</w:t>
      </w:r>
      <w:r>
        <w:rPr>
          <w:rFonts w:hint="eastAsia"/>
          <w:color w:val="000000"/>
          <w:kern w:val="0"/>
        </w:rPr>
        <w:t xml:space="preserve"> </w:t>
      </w:r>
      <w:r>
        <w:rPr>
          <w:color w:val="000000"/>
          <w:kern w:val="0"/>
        </w:rPr>
        <w:t xml:space="preserve">and biodegradation half-life data of </w:t>
      </w:r>
      <w:r>
        <w:rPr>
          <w:color w:val="000000"/>
          <w:kern w:val="0"/>
        </w:rPr>
        <w:t>7,562 PFAS from the United States Environmental Protection Agency (EPA) as the ground-truth for this study.</w:t>
      </w:r>
      <w:r>
        <w:rPr>
          <w:color w:val="000000"/>
          <w:kern w:val="0"/>
        </w:rPr>
        <w:fldChar w:fldCharType="begin"/>
      </w:r>
      <w:r>
        <w:rPr>
          <w:color w:val="000000"/>
          <w:kern w:val="0"/>
        </w:rPr>
        <w:instrText xml:space="preserve"> ADDIN ZOTERO_ITEM CSL_CITATION {"citationID":"Vu3hWvkJ","properties":{"formattedCitation":"\\super 11\\nosupersub{}","plainCitation":"11","noteIndex</w:instrText>
      </w:r>
      <w:r>
        <w:rPr>
          <w:color w:val="000000"/>
          <w:kern w:val="0"/>
        </w:rPr>
        <w:instrText>":0},"citationItems":[{"id":54,"uris":["http://zotero.org/users/local/4YXbPDcN/items/7FYL8YYK"],"itemData":{"id":54,"type":"article-journal","abstract":"The Environmental Protection Agency (EPA) provides access to information on a variety of topics related</w:instrText>
      </w:r>
      <w:r>
        <w:rPr>
          <w:color w:val="000000"/>
          <w:kern w:val="0"/>
        </w:rPr>
        <w:instrText xml:space="preserve"> to the environment and strives to inform citizens of health risks. The EPA also has an extensive library network that consists of 26 libraries throughout the United States, which provide access to a plethora of information to EPA employees, scientists, an</w:instrText>
      </w:r>
      <w:r>
        <w:rPr>
          <w:color w:val="000000"/>
          <w:kern w:val="0"/>
        </w:rPr>
        <w:instrText>d researchers. The EPA implemented a reorganization project to digitize their materials so they would be more accessible to a wider range of users, but this plan was drastically accelerated when the EPA was threatened with a budget cut. It chose to close a</w:instrText>
      </w:r>
      <w:r>
        <w:rPr>
          <w:color w:val="000000"/>
          <w:kern w:val="0"/>
        </w:rPr>
        <w:instrText>nd reduce the hours and services of some of their libraries. As a result, the agency was accused of denying users the “right to know” by making information unavailable, not providing an adequate strategic plan, and discarding vital materials. This case stu</w:instrText>
      </w:r>
      <w:r>
        <w:rPr>
          <w:color w:val="000000"/>
          <w:kern w:val="0"/>
        </w:rPr>
        <w:instrText>dy explores the background of the digitization project, the practices implemented, and the critiques of the project.","container-title":"The Grants Register 2022","DOI":"10.4135/9781412914260.n159","journalAbbreviation":"The Grants Register 2022","title":"</w:instrText>
      </w:r>
      <w:r>
        <w:rPr>
          <w:color w:val="000000"/>
          <w:kern w:val="0"/>
        </w:rPr>
        <w:instrText xml:space="preserve">Environmental Protection Agency","author":[{"literal":"Rebecca S. Katz"},{"literal":"Rebecca S. Katz"}],"issued":{"literal":"///"}}}],"schema":"https://github.com/citation-style-language/schema/raw/master/csl-citation.json"} </w:instrText>
      </w:r>
      <w:r>
        <w:rPr>
          <w:color w:val="000000"/>
          <w:kern w:val="0"/>
        </w:rPr>
        <w:fldChar w:fldCharType="separate"/>
      </w:r>
      <w:r>
        <w:rPr>
          <w:kern w:val="0"/>
          <w:szCs w:val="24"/>
          <w:vertAlign w:val="superscript"/>
        </w:rPr>
        <w:t>11</w:t>
      </w:r>
      <w:r>
        <w:rPr>
          <w:color w:val="000000"/>
          <w:kern w:val="0"/>
        </w:rPr>
        <w:fldChar w:fldCharType="end"/>
      </w:r>
      <w:r>
        <w:rPr>
          <w:color w:val="000000"/>
          <w:kern w:val="0"/>
        </w:rPr>
        <w:t xml:space="preserve"> As we used a language mod</w:t>
      </w:r>
      <w:r>
        <w:rPr>
          <w:color w:val="000000"/>
          <w:kern w:val="0"/>
        </w:rPr>
        <w:t>el, performing regression in the real number domain is impractical (since, strictly speaking, real numbers have an infinite number of decimal places), but we can approximate regression by retaining nine decimal places. To further enhance the performance of</w:t>
      </w:r>
      <w:r>
        <w:rPr>
          <w:color w:val="000000"/>
          <w:kern w:val="0"/>
        </w:rPr>
        <w:t xml:space="preserve"> large language models in predicting biodegradation half-lives, an effective method is fine-tuning with domain-specific data. In this case, the dataset primarily comprises three key components: DTXSIDs , SMILES (Simplified Molecular Input Line Entry System</w:t>
      </w:r>
      <w:r>
        <w:rPr>
          <w:color w:val="000000"/>
          <w:kern w:val="0"/>
        </w:rPr>
        <w:t xml:space="preserve">, i.e., the textual </w:t>
      </w:r>
      <w:r>
        <w:rPr>
          <w:color w:val="000000"/>
          <w:kern w:val="0"/>
        </w:rPr>
        <w:lastRenderedPageBreak/>
        <w:t>representation of their molecular structures),</w:t>
      </w:r>
      <w:r>
        <w:rPr>
          <w:color w:val="000000"/>
          <w:kern w:val="0"/>
        </w:rPr>
        <w:fldChar w:fldCharType="begin"/>
      </w:r>
      <w:r>
        <w:rPr>
          <w:color w:val="000000"/>
          <w:kern w:val="0"/>
        </w:rPr>
        <w:instrText xml:space="preserve"> ADDIN ZOTERO_ITEM CSL_CITATION {"citationID":"UDfDlLZ6","properties":{"formattedCitation":"\\super 12\\nosupersub{}","plainCitation":"12","noteIndex":0},"citationItems":[{"id":50,"uris":["h</w:instrText>
      </w:r>
      <w:r>
        <w:rPr>
          <w:color w:val="000000"/>
          <w:kern w:val="0"/>
        </w:rPr>
        <w:instrText>ttp://zotero.org/users/local/4YXbPDcN/items/3UI65U28"],"itemData":{"id":50,"type":"article-journal","abstract":"ADVERTISEMENT RETURN TO ISSUEPREVArticleNEXTSMILES, a chemical language and information system. 1. Introduction to methodology and encoding rule</w:instrText>
      </w:r>
      <w:r>
        <w:rPr>
          <w:color w:val="000000"/>
          <w:kern w:val="0"/>
        </w:rPr>
        <w:instrText>sDavid WeiningerCite this: J. Chem. Inf. Comput. Sci. 1988, 28, 1, 31–36Publication Date (Print):February 1, 1988Publication History Published online1 May 2002Published inissue 1 February 1988https://doi.org/10.1021/ci00057a005RIGHTS &amp; PERMISSIONSArticle V</w:instrText>
      </w:r>
      <w:r>
        <w:rPr>
          <w:color w:val="000000"/>
          <w:kern w:val="0"/>
        </w:rPr>
        <w:instrText>iews8760Altmetric-Citations2811LEARN ABOUT THESE METRICSArticle Views are the COUNTER-compliant sum of full text article downloads since November 2008 (both PDF and HTML) across all institutions and individuals. These metrics are regularly updated to refle</w:instrText>
      </w:r>
      <w:r>
        <w:rPr>
          <w:color w:val="000000"/>
          <w:kern w:val="0"/>
        </w:rPr>
        <w:instrText xml:space="preserve">ct usage leading up to the last few days.Citations are the number of other articles citing this article, calculated by Crossref and updated daily. Find more information about Crossref citation counts.The Altmetric Attention Score is a quantitative measure </w:instrText>
      </w:r>
      <w:r>
        <w:rPr>
          <w:color w:val="000000"/>
          <w:kern w:val="0"/>
        </w:rPr>
        <w:instrText>of the attention that a research article has received online. Clicking on the donut icon will load a page at altmetric.com with additional details about the score and the social media presence for the given article. Find more information on the Altmetric A</w:instrText>
      </w:r>
      <w:r>
        <w:rPr>
          <w:color w:val="000000"/>
          <w:kern w:val="0"/>
        </w:rPr>
        <w:instrText>ttention Score and how the score is calculated. Share Add toView InAdd Full Text with ReferenceAdd Description ExportRISCitationCitation and abstractCitation and referencesMore Options Share onFacebookTwitterWechatLinked InReddit PDF (732 KB) Get e-Alerts"</w:instrText>
      </w:r>
      <w:r>
        <w:rPr>
          <w:color w:val="000000"/>
          <w:kern w:val="0"/>
        </w:rPr>
        <w:instrText>,"container-title":"Journal of Chemical Information and Computer Sciences","DOI":"10.1021/ci00057a005","journalAbbreviation":"Journal of Chemical Information and Computer Sciences","title":"SMILES, a chemical language and information system. 1. introductio</w:instrText>
      </w:r>
      <w:r>
        <w:rPr>
          <w:color w:val="000000"/>
          <w:kern w:val="0"/>
        </w:rPr>
        <w:instrText xml:space="preserve">n to methodology and encoding rules","author":[{"literal":"David Weininger"},{"literal":"David Weininger"}],"issued":{"date-parts":[["1988"]]}}}],"schema":"https://github.com/citation-style-language/schema/raw/master/csl-citation.json"} </w:instrText>
      </w:r>
      <w:r>
        <w:rPr>
          <w:color w:val="000000"/>
          <w:kern w:val="0"/>
        </w:rPr>
        <w:fldChar w:fldCharType="separate"/>
      </w:r>
      <w:r>
        <w:rPr>
          <w:kern w:val="0"/>
          <w:szCs w:val="24"/>
          <w:vertAlign w:val="superscript"/>
        </w:rPr>
        <w:t>12</w:t>
      </w:r>
      <w:r>
        <w:rPr>
          <w:color w:val="000000"/>
          <w:kern w:val="0"/>
        </w:rPr>
        <w:fldChar w:fldCharType="end"/>
      </w:r>
      <w:r>
        <w:rPr>
          <w:color w:val="000000"/>
          <w:kern w:val="0"/>
        </w:rPr>
        <w:t xml:space="preserve"> and the actua</w:t>
      </w:r>
      <w:r>
        <w:rPr>
          <w:color w:val="000000"/>
          <w:kern w:val="0"/>
        </w:rPr>
        <w:t xml:space="preserve">l measured values of biodegradation half-lives. For example, the molecular structure of DTXSID70790800 is </w:t>
      </w:r>
      <w:r>
        <w:rPr>
          <w:color w:val="000000"/>
          <w:kern w:val="0"/>
        </w:rPr>
        <w:t>'FC(F)(F)C(Br)(C(Br)=O)C(F)(F)F,'</w:t>
      </w:r>
      <w:r>
        <w:rPr>
          <w:color w:val="000000"/>
          <w:kern w:val="0"/>
        </w:rPr>
        <w:t xml:space="preserve"> with a half-life of </w:t>
      </w:r>
      <w:r>
        <w:rPr>
          <w:color w:val="000000"/>
          <w:kern w:val="0"/>
        </w:rPr>
        <w:t>4.570881896</w:t>
      </w:r>
      <w:r>
        <w:rPr>
          <w:rFonts w:hint="eastAsia"/>
          <w:color w:val="000000"/>
          <w:kern w:val="0"/>
        </w:rPr>
        <w:t>days</w:t>
      </w:r>
      <w:r>
        <w:rPr>
          <w:color w:val="000000"/>
          <w:kern w:val="0"/>
        </w:rPr>
        <w:t>.</w:t>
      </w:r>
      <w:r>
        <w:rPr>
          <w:color w:val="000000"/>
          <w:kern w:val="0"/>
        </w:rPr>
        <w:t xml:space="preserve"> This process specifically includes the following four steps: </w:t>
      </w:r>
      <w:r>
        <w:rPr>
          <w:color w:val="000000"/>
          <w:kern w:val="0"/>
        </w:rPr>
        <w:t>T</w:t>
      </w:r>
      <w:r>
        <w:rPr>
          <w:rFonts w:hint="eastAsia"/>
          <w:color w:val="000000"/>
          <w:kern w:val="0"/>
        </w:rPr>
        <w:t xml:space="preserve">he </w:t>
      </w:r>
      <w:r>
        <w:rPr>
          <w:color w:val="000000"/>
          <w:kern w:val="0"/>
        </w:rPr>
        <w:t>first step con</w:t>
      </w:r>
      <w:r>
        <w:rPr>
          <w:color w:val="000000"/>
          <w:kern w:val="0"/>
        </w:rPr>
        <w:t xml:space="preserve">cerns </w:t>
      </w:r>
      <w:r>
        <w:rPr>
          <w:rFonts w:ascii="Times New Roman Italic" w:hAnsi="Times New Roman Italic" w:cs="Times New Roman Italic"/>
          <w:i/>
          <w:iCs/>
          <w:color w:val="000000"/>
          <w:kern w:val="0"/>
        </w:rPr>
        <w:t>D</w:t>
      </w:r>
      <w:r>
        <w:rPr>
          <w:rFonts w:ascii="Times New Roman Italic" w:hAnsi="Times New Roman Italic" w:cs="Times New Roman Italic"/>
          <w:i/>
          <w:iCs/>
          <w:color w:val="000000"/>
          <w:kern w:val="0"/>
        </w:rPr>
        <w:t>ata Cleaning</w:t>
      </w:r>
      <w:r>
        <w:rPr>
          <w:color w:val="000000"/>
          <w:kern w:val="0"/>
        </w:rPr>
        <w:t>, this process will e</w:t>
      </w:r>
      <w:r>
        <w:rPr>
          <w:color w:val="000000"/>
          <w:kern w:val="0"/>
        </w:rPr>
        <w:t xml:space="preserve">nsure </w:t>
      </w:r>
      <w:r>
        <w:rPr>
          <w:color w:val="000000"/>
          <w:kern w:val="0"/>
        </w:rPr>
        <w:t xml:space="preserve">all data points are complete and correct, deleting or amending any erroneous or incomplete records. For SMILES strings, this may include standardizing molecular structure representations. </w:t>
      </w:r>
      <w:r>
        <w:rPr>
          <w:color w:val="000000"/>
          <w:kern w:val="0"/>
        </w:rPr>
        <w:t>Following that, the se</w:t>
      </w:r>
      <w:r>
        <w:rPr>
          <w:color w:val="000000"/>
          <w:kern w:val="0"/>
        </w:rPr>
        <w:t xml:space="preserve">cond step concerns </w:t>
      </w:r>
      <w:r>
        <w:rPr>
          <w:rFonts w:ascii="Times New Roman Italic" w:hAnsi="Times New Roman Italic" w:cs="Times New Roman Italic"/>
          <w:i/>
          <w:iCs/>
          <w:color w:val="000000"/>
          <w:kern w:val="0"/>
        </w:rPr>
        <w:t>D</w:t>
      </w:r>
      <w:r>
        <w:rPr>
          <w:rFonts w:ascii="Times New Roman Italic" w:hAnsi="Times New Roman Italic" w:cs="Times New Roman Italic"/>
          <w:i/>
          <w:iCs/>
          <w:color w:val="000000"/>
          <w:kern w:val="0"/>
        </w:rPr>
        <w:t>ata Transformation</w:t>
      </w:r>
      <w:r>
        <w:rPr>
          <w:color w:val="000000"/>
          <w:kern w:val="0"/>
        </w:rPr>
        <w:t>, this process will c</w:t>
      </w:r>
      <w:r>
        <w:rPr>
          <w:color w:val="000000"/>
          <w:kern w:val="0"/>
        </w:rPr>
        <w:t>onvert the raw data into a question-and-answer (QA) pair format, which aids the language model in understanding and generating predictions. For instance, transforming SMILES strings and half-life values into a question about molecular half-life and an answ</w:t>
      </w:r>
      <w:r>
        <w:rPr>
          <w:color w:val="000000"/>
          <w:kern w:val="0"/>
        </w:rPr>
        <w:t xml:space="preserve">er containing the specific half-life time. </w:t>
      </w:r>
      <w:r>
        <w:rPr>
          <w:color w:val="000000"/>
          <w:kern w:val="0"/>
        </w:rPr>
        <w:t>The third step concerns</w:t>
      </w:r>
      <w:r>
        <w:rPr>
          <w:color w:val="000000"/>
          <w:kern w:val="0"/>
        </w:rPr>
        <w:t xml:space="preserve"> </w:t>
      </w:r>
      <w:r>
        <w:rPr>
          <w:rFonts w:ascii="Times New Roman Italic" w:hAnsi="Times New Roman Italic" w:cs="Times New Roman Italic"/>
          <w:i/>
          <w:iCs/>
          <w:color w:val="000000"/>
          <w:kern w:val="0"/>
        </w:rPr>
        <w:t>Linguistic Diversity</w:t>
      </w:r>
      <w:r>
        <w:rPr>
          <w:color w:val="000000"/>
          <w:kern w:val="0"/>
        </w:rPr>
        <w:t>,</w:t>
      </w:r>
      <w:r>
        <w:rPr>
          <w:color w:val="000000"/>
          <w:kern w:val="0"/>
        </w:rPr>
        <w:t xml:space="preserve"> </w:t>
      </w:r>
      <w:r>
        <w:rPr>
          <w:color w:val="000000"/>
          <w:kern w:val="0"/>
        </w:rPr>
        <w:t xml:space="preserve">this process will </w:t>
      </w:r>
      <w:r>
        <w:rPr>
          <w:color w:val="000000"/>
          <w:kern w:val="0"/>
        </w:rPr>
        <w:t>generate multiple different phrasings for the same query rather than just one</w:t>
      </w:r>
      <w:r>
        <w:rPr>
          <w:color w:val="000000"/>
          <w:kern w:val="0"/>
        </w:rPr>
        <w:t xml:space="preserve"> w</w:t>
      </w:r>
      <w:r>
        <w:rPr>
          <w:color w:val="000000"/>
          <w:kern w:val="0"/>
        </w:rPr>
        <w:t>hen constructing QA pairs</w:t>
      </w:r>
      <w:r>
        <w:rPr>
          <w:color w:val="000000"/>
          <w:kern w:val="0"/>
        </w:rPr>
        <w:t>.</w:t>
      </w:r>
      <w:r>
        <w:rPr>
          <w:color w:val="000000"/>
          <w:kern w:val="0"/>
        </w:rPr>
        <w:t xml:space="preserve"> Th</w:t>
      </w:r>
      <w:r>
        <w:rPr>
          <w:color w:val="000000"/>
          <w:kern w:val="0"/>
        </w:rPr>
        <w:t>is objective</w:t>
      </w:r>
      <w:r>
        <w:rPr>
          <w:color w:val="000000"/>
          <w:kern w:val="0"/>
        </w:rPr>
        <w:t xml:space="preserve"> can be achieved by using syn</w:t>
      </w:r>
      <w:r>
        <w:rPr>
          <w:color w:val="000000"/>
          <w:kern w:val="0"/>
        </w:rPr>
        <w:t xml:space="preserve">onyms, changing sentence structures, or employing different expressions, thereby increasing the diversity of language expressions encountered by the model. </w:t>
      </w:r>
      <w:r>
        <w:rPr>
          <w:color w:val="000000"/>
          <w:kern w:val="0"/>
        </w:rPr>
        <w:t>The forth step concerns</w:t>
      </w:r>
      <w:r>
        <w:rPr>
          <w:color w:val="000000"/>
          <w:kern w:val="0"/>
        </w:rPr>
        <w:t xml:space="preserve"> </w:t>
      </w:r>
      <w:r>
        <w:rPr>
          <w:rFonts w:ascii="Times New Roman Italic" w:hAnsi="Times New Roman Italic" w:cs="Times New Roman Italic"/>
          <w:i/>
          <w:iCs/>
          <w:color w:val="000000"/>
          <w:kern w:val="0"/>
        </w:rPr>
        <w:t>Dataset Partitioning</w:t>
      </w:r>
      <w:r>
        <w:rPr>
          <w:color w:val="000000"/>
          <w:kern w:val="0"/>
        </w:rPr>
        <w:t>,</w:t>
      </w:r>
      <w:r>
        <w:rPr>
          <w:color w:val="000000"/>
          <w:kern w:val="0"/>
        </w:rPr>
        <w:t xml:space="preserve"> </w:t>
      </w:r>
      <w:r>
        <w:rPr>
          <w:color w:val="000000"/>
          <w:kern w:val="0"/>
        </w:rPr>
        <w:t>it will d</w:t>
      </w:r>
      <w:r>
        <w:rPr>
          <w:color w:val="000000"/>
          <w:kern w:val="0"/>
        </w:rPr>
        <w:t>ivide the data into training and test sets, e</w:t>
      </w:r>
      <w:r>
        <w:rPr>
          <w:color w:val="000000"/>
          <w:kern w:val="0"/>
        </w:rPr>
        <w:t>nsuring an even distribution of data in both sets to prevent overfitting and ensure the model performs well on unseen data.</w:t>
      </w:r>
      <w:r>
        <w:rPr>
          <w:color w:val="000000"/>
          <w:kern w:val="0"/>
        </w:rPr>
        <w:t>"</w:t>
      </w:r>
      <w:r>
        <w:rPr>
          <w:rFonts w:hint="eastAsia"/>
          <w:color w:val="000000"/>
          <w:kern w:val="0"/>
        </w:rPr>
        <w:t xml:space="preserve"> </w:t>
      </w:r>
      <w:r>
        <w:rPr>
          <w:color w:val="000000"/>
          <w:kern w:val="0"/>
        </w:rPr>
        <w:t xml:space="preserve">By employing the aforementioned methods, we can effectively expand and optimize the dataset and its preprocessing. This provides a </w:t>
      </w:r>
      <w:r>
        <w:rPr>
          <w:color w:val="000000"/>
          <w:kern w:val="0"/>
        </w:rPr>
        <w:t xml:space="preserve">solid foundation for fine-tuning large language models, thereby enhancing their performance and accuracy in predicting the biodegradation half-lives of substances. </w:t>
      </w:r>
      <w:r>
        <w:rPr>
          <w:rFonts w:ascii="Times New Roman Bold" w:hAnsi="Times New Roman Bold" w:cs="Times New Roman Bold"/>
          <w:b/>
          <w:bCs/>
          <w:color w:val="000000"/>
          <w:kern w:val="0"/>
          <w:highlight w:val="yellow"/>
        </w:rPr>
        <w:t>Figure</w:t>
      </w:r>
      <w:r>
        <w:rPr>
          <w:rFonts w:ascii="Times New Roman Bold" w:hAnsi="Times New Roman Bold" w:cs="Times New Roman Bold"/>
          <w:b/>
          <w:bCs/>
          <w:color w:val="000000"/>
          <w:kern w:val="0"/>
          <w:highlight w:val="yellow"/>
        </w:rPr>
        <w:t xml:space="preserve"> </w:t>
      </w:r>
      <w:r>
        <w:rPr>
          <w:rFonts w:ascii="Times New Roman Bold" w:hAnsi="Times New Roman Bold" w:cs="Times New Roman Bold"/>
          <w:b/>
          <w:bCs/>
          <w:color w:val="000000"/>
          <w:kern w:val="0"/>
          <w:highlight w:val="yellow"/>
        </w:rPr>
        <w:t>1</w:t>
      </w:r>
      <w:r>
        <w:rPr>
          <w:color w:val="000000"/>
          <w:kern w:val="0"/>
        </w:rPr>
        <w:t xml:space="preserve"> shows the w</w:t>
      </w:r>
      <w:r>
        <w:rPr>
          <w:rFonts w:hint="eastAsia"/>
          <w:color w:val="000000"/>
          <w:kern w:val="0"/>
        </w:rPr>
        <w:t xml:space="preserve">orkflow illustrating the </w:t>
      </w:r>
      <w:r>
        <w:rPr>
          <w:rFonts w:hint="eastAsia"/>
          <w:color w:val="000000"/>
          <w:kern w:val="0"/>
        </w:rPr>
        <w:lastRenderedPageBreak/>
        <w:t>integration of machine learning and chemical in</w:t>
      </w:r>
      <w:r>
        <w:rPr>
          <w:rFonts w:hint="eastAsia"/>
          <w:color w:val="000000"/>
          <w:kern w:val="0"/>
        </w:rPr>
        <w:t>formatics to predict the half-life of the molecule represented by SMILES notation FC(F)(F)C(Br)(C(Br)=O)C(F)(F)F. The process begins with the molecular structure and associated half-life data (4.57 days), which is input into an inference chain of thought (</w:t>
      </w:r>
      <w:r>
        <w:rPr>
          <w:rFonts w:hint="eastAsia"/>
          <w:color w:val="000000"/>
          <w:kern w:val="0"/>
        </w:rPr>
        <w:t>CoT).</w:t>
      </w:r>
      <w:r>
        <w:rPr>
          <w:color w:val="000000"/>
          <w:kern w:val="0"/>
        </w:rPr>
        <w:fldChar w:fldCharType="begin"/>
      </w:r>
      <w:r>
        <w:rPr>
          <w:color w:val="000000"/>
          <w:kern w:val="0"/>
        </w:rPr>
        <w:instrText xml:space="preserve"> ADDIN ZOTERO_ITEM CSL_CITATION {"citationID":"iq9169o4","properties":{"formattedCitation":"\\super 13\\nosupersub{}","plainCitation":"13","noteIndex":0},"citationItems":[{"id":56,"uris":["http://zotero.org/users/local/4YXbPDcN/items/D6EL2A4A"],"itemD</w:instrText>
      </w:r>
      <w:r>
        <w:rPr>
          <w:color w:val="000000"/>
          <w:kern w:val="0"/>
        </w:rPr>
        <w:instrText>ata":{"id":56,"type":"article","abstract":"We explore how generating a chain of thought -- a series of intermediate reasoning steps -- significantly improves the ability of large language models to perform complex reasoning. In particular, we show how such</w:instrText>
      </w:r>
      <w:r>
        <w:rPr>
          <w:color w:val="000000"/>
          <w:kern w:val="0"/>
        </w:rPr>
        <w:instrText xml:space="preserve"> reasoning abilities emerge naturally in sufficiently large language models via a simple method called chain of thought prompting, where a few chain of thought demonstrations are provided as exemplars in prompting. Experiments on three large language model</w:instrText>
      </w:r>
      <w:r>
        <w:rPr>
          <w:color w:val="000000"/>
          <w:kern w:val="0"/>
        </w:rPr>
        <w:instrText>s show that chain of thought prompting improves performance on a range of arithmetic, commonsense, and symbolic reasoning tasks. The empirical gains can be striking. For instance, prompting a 540B-parameter language model with just eight chain of thought e</w:instrText>
      </w:r>
      <w:r>
        <w:rPr>
          <w:color w:val="000000"/>
          <w:kern w:val="0"/>
        </w:rPr>
        <w:instrText>xemplars achieves state of the art accuracy on the GSM8K benchmark of math word problems, surpassing even finetuned GPT-3 with a verifier.","note":"arXiv:2201.11903 [cs]","number":"arXiv:2201.11903","publisher":"arXiv","source":"arXiv.org","title":"Chain-o</w:instrText>
      </w:r>
      <w:r>
        <w:rPr>
          <w:color w:val="000000"/>
          <w:kern w:val="0"/>
        </w:rPr>
        <w:instrText>f-Thought Prompting Elicits Reasoning in Large Language Models","URL":"http://arxiv.org/abs/2201.11903","author":[{"family":"Wei","given":"Jason"},{"family":"Wang","given":"Xuezhi"},{"family":"Schuurmans","given":"Dale"},{"family":"Bosma","given":"Maarten"</w:instrText>
      </w:r>
      <w:r>
        <w:rPr>
          <w:color w:val="000000"/>
          <w:kern w:val="0"/>
        </w:rPr>
        <w:instrText>},{"family":"Ichter","given":"Brian"},{"family":"Xia","given":"Fei"},{"family":"Chi","given":"Ed"},{"family":"Le","given":"Quoc"},{"family":"Zhou","given":"Denny"}],"accessed":{"date-parts":[["2024",2,24]]},"issued":{"date-parts":[["2023",1,10]]}}}],"schem</w:instrText>
      </w:r>
      <w:r>
        <w:rPr>
          <w:color w:val="000000"/>
          <w:kern w:val="0"/>
        </w:rPr>
        <w:instrText xml:space="preserve">a":"https://github.com/citation-style-language/schema/raw/master/csl-citation.json"} </w:instrText>
      </w:r>
      <w:r>
        <w:rPr>
          <w:color w:val="000000"/>
          <w:kern w:val="0"/>
        </w:rPr>
        <w:fldChar w:fldCharType="separate"/>
      </w:r>
      <w:r>
        <w:rPr>
          <w:kern w:val="0"/>
          <w:szCs w:val="24"/>
          <w:vertAlign w:val="superscript"/>
        </w:rPr>
        <w:t>13</w:t>
      </w:r>
      <w:r>
        <w:rPr>
          <w:color w:val="000000"/>
          <w:kern w:val="0"/>
        </w:rPr>
        <w:fldChar w:fldCharType="end"/>
      </w:r>
      <w:r>
        <w:rPr>
          <w:rFonts w:hint="eastAsia"/>
          <w:color w:val="000000"/>
          <w:kern w:val="0"/>
        </w:rPr>
        <w:t xml:space="preserve"> The CoT enhanced by dialogue generation capabilities, interfaces with the Llama13B-chat AI, which has been fine-tuned using the LoRA method to incorporate annotated </w:t>
      </w:r>
      <w:r>
        <w:rPr>
          <w:rFonts w:hint="eastAsia"/>
          <w:color w:val="000000"/>
          <w:kern w:val="0"/>
        </w:rPr>
        <w:t>domain-specific knowledge.</w:t>
      </w:r>
      <w:r>
        <w:rPr>
          <w:color w:val="000000"/>
          <w:kern w:val="0"/>
        </w:rPr>
        <w:fldChar w:fldCharType="begin"/>
      </w:r>
      <w:r>
        <w:rPr>
          <w:color w:val="000000"/>
          <w:kern w:val="0"/>
        </w:rPr>
        <w:instrText xml:space="preserve"> ADDIN ZOTERO_ITEM CSL_CITATION {"citationID":"2SNcYzJH","properties":{"formattedCitation":"\\super 14\\nosupersub{}","plainCitation":"14","noteIndex":0},"citationItems":[{"id":48,"uris":["http://zotero.org/users/local/4YXbPDcN/it</w:instrText>
      </w:r>
      <w:r>
        <w:rPr>
          <w:color w:val="000000"/>
          <w:kern w:val="0"/>
        </w:rPr>
        <w:instrText>ems/6VCHVL47"],"itemData":{"id":48,"type":"article","abstract":"An important paradigm of natural language processing consists of large-scale pretraining on general domain data and adaptation to particular tasks or domains. As we pre-train larger models, fu</w:instrText>
      </w:r>
      <w:r>
        <w:rPr>
          <w:color w:val="000000"/>
          <w:kern w:val="0"/>
        </w:rPr>
        <w:instrText>ll ﬁne-tuning, which retrains all model parameters, becomes less feasible. Using GPT-3 175B as an example – deploying independent instances of ﬁne-tuned models, each with 175B parameters, is prohibitively expensive. We propose Low-Rank Adaptation, or LoRA,</w:instrText>
      </w:r>
      <w:r>
        <w:rPr>
          <w:color w:val="000000"/>
          <w:kern w:val="0"/>
        </w:rPr>
        <w:instrText xml:space="preserve"> which freezes the pretrained model weights and injects trainable rank decomposition matrices into each layer of the Transformer architecture, greatly reducing the number of trainable parameters for downstream tasks. Compared to GPT-3 175B ﬁne-tuned with A</w:instrText>
      </w:r>
      <w:r>
        <w:rPr>
          <w:color w:val="000000"/>
          <w:kern w:val="0"/>
        </w:rPr>
        <w:instrText>dam, LoRA can reduce the number of trainable parameters by 10,000 times and the GPU memory requirement by 3 times. LoRA performs on-par or better than ﬁnetuning in model quality on RoBERTa, DeBERTa, GPT-2, and GPT-3, despite having fewer trainable paramete</w:instrText>
      </w:r>
      <w:r>
        <w:rPr>
          <w:color w:val="000000"/>
          <w:kern w:val="0"/>
        </w:rPr>
        <w:instrText>rs, a higher training throughput, and, unlike adapters, no additional inference latency. We also provide an empirical investigation into rank-deﬁciency in language model adaptation, which sheds light on the efﬁcacy of LoRA. We release a package that facili</w:instrText>
      </w:r>
      <w:r>
        <w:rPr>
          <w:color w:val="000000"/>
          <w:kern w:val="0"/>
        </w:rPr>
        <w:instrText>tates the integration of LoRA with PyTorch models and provide our implementations and model checkpoints for RoBERTa, DeBERTa, and GPT-2 at https://github.com/microsoft/LoRA.","language":"en","note":"arXiv:2106.09685 [cs]","number":"arXiv:2106.09685","publi</w:instrText>
      </w:r>
      <w:r>
        <w:rPr>
          <w:color w:val="000000"/>
          <w:kern w:val="0"/>
        </w:rPr>
        <w:instrText>sher":"arXiv","source":"arXiv.org","title":"LoRA: Low-Rank Adaptation of Large Language Models","title-short":"LoRA","URL":"http://arxiv.org/abs/2106.09685","author":[{"family":"Hu","given":"Edward J."},{"family":"Shen","given":"Yelong"},{"family":"Wallis"</w:instrText>
      </w:r>
      <w:r>
        <w:rPr>
          <w:color w:val="000000"/>
          <w:kern w:val="0"/>
        </w:rPr>
        <w:instrText>,"given":"Phillip"},{"family":"Allen-Zhu","given":"Zeyuan"},{"family":"Li","given":"Yuanzhi"},{"family":"Wang","given":"Shean"},{"family":"Wang","given":"Lu"},{"family":"Chen","given":"Weizhu"}],"accessed":{"date-parts":[["2024",2,24]]},"issued":{"date-par</w:instrText>
      </w:r>
      <w:r>
        <w:rPr>
          <w:color w:val="000000"/>
          <w:kern w:val="0"/>
        </w:rPr>
        <w:instrText xml:space="preserve">ts":[["2021",10,16]]}}}],"schema":"https://github.com/citation-style-language/schema/raw/master/csl-citation.json"} </w:instrText>
      </w:r>
      <w:r>
        <w:rPr>
          <w:color w:val="000000"/>
          <w:kern w:val="0"/>
        </w:rPr>
        <w:fldChar w:fldCharType="separate"/>
      </w:r>
      <w:r>
        <w:rPr>
          <w:kern w:val="0"/>
          <w:szCs w:val="24"/>
          <w:vertAlign w:val="superscript"/>
        </w:rPr>
        <w:t>14</w:t>
      </w:r>
      <w:r>
        <w:rPr>
          <w:color w:val="000000"/>
          <w:kern w:val="0"/>
        </w:rPr>
        <w:fldChar w:fldCharType="end"/>
      </w:r>
      <w:r>
        <w:rPr>
          <w:rFonts w:hint="eastAsia"/>
          <w:color w:val="000000"/>
          <w:kern w:val="0"/>
        </w:rPr>
        <w:t xml:space="preserve"> This integrated system leads to an updated prediction of the half-life as 3.5 days, demonstrating the potential of AI-assisted predict</w:t>
      </w:r>
      <w:r>
        <w:rPr>
          <w:rFonts w:hint="eastAsia"/>
          <w:color w:val="000000"/>
          <w:kern w:val="0"/>
        </w:rPr>
        <w:t>ive modeling in chemical research.</w:t>
      </w:r>
    </w:p>
    <w:p w14:paraId="014AF5BC" w14:textId="77777777" w:rsidR="000F3761" w:rsidRDefault="000F3761">
      <w:pPr>
        <w:pStyle w:val="msolistparagraph0"/>
        <w:widowControl/>
        <w:spacing w:line="480" w:lineRule="auto"/>
        <w:ind w:firstLineChars="100" w:firstLine="240"/>
        <w:outlineLvl w:val="1"/>
        <w:rPr>
          <w:color w:val="000000"/>
          <w:kern w:val="0"/>
        </w:rPr>
      </w:pPr>
    </w:p>
    <w:p w14:paraId="33C1D59C" w14:textId="77777777" w:rsidR="000F3761" w:rsidRDefault="00AB3A62">
      <w:pPr>
        <w:pStyle w:val="msolistparagraph0"/>
        <w:widowControl/>
        <w:spacing w:line="480" w:lineRule="auto"/>
        <w:ind w:firstLineChars="100" w:firstLine="241"/>
        <w:outlineLvl w:val="1"/>
        <w:rPr>
          <w:lang w:bidi="ar"/>
        </w:rPr>
      </w:pPr>
      <w:r>
        <w:rPr>
          <w:b/>
          <w:bCs/>
        </w:rPr>
        <w:t>Model</w:t>
      </w:r>
      <w:r>
        <w:rPr>
          <w:rFonts w:hint="eastAsia"/>
          <w:b/>
          <w:bCs/>
        </w:rPr>
        <w:t xml:space="preserve"> </w:t>
      </w:r>
      <w:r>
        <w:rPr>
          <w:b/>
          <w:bCs/>
        </w:rPr>
        <w:t xml:space="preserve">design and fine-tuning. </w:t>
      </w:r>
      <w:r>
        <w:rPr>
          <w:lang w:bidi="ar"/>
        </w:rPr>
        <w:t>Data transformation is implemented through either ChatGPT-constructed or manually written code. For efficiency and effectiveness, the Llama 2-13B-chat model is chosen for fine-tuning. For fi</w:t>
      </w:r>
      <w:r>
        <w:rPr>
          <w:lang w:bidi="ar"/>
        </w:rPr>
        <w:t>ne-tuning Llama 2-13B-chat,  the LoRA (Low-Rank Adaptation of Large Language Models) approach can be applied.</w:t>
      </w:r>
      <w:r>
        <w:rPr>
          <w:lang w:bidi="ar"/>
        </w:rPr>
        <w:fldChar w:fldCharType="begin"/>
      </w:r>
      <w:r>
        <w:rPr>
          <w:lang w:bidi="ar"/>
        </w:rPr>
        <w:instrText xml:space="preserve"> ADDIN ZOTERO_ITEM CSL_CITATION {"citationID":"J4mueY0k","properties":{"formattedCitation":"\\super 14\\nosupersub{}","plainCitation":"14","noteInd</w:instrText>
      </w:r>
      <w:r>
        <w:rPr>
          <w:lang w:bidi="ar"/>
        </w:rPr>
        <w:instrText>ex":0},"citationItems":[{"id":48,"uris":["http://zotero.org/users/local/4YXbPDcN/items/6VCHVL47"],"itemData":{"id":48,"type":"article","abstract":"An important paradigm of natural language processing consists of large-scale pretraining on general domain da</w:instrText>
      </w:r>
      <w:r>
        <w:rPr>
          <w:lang w:bidi="ar"/>
        </w:rPr>
        <w:instrText>ta and adaptation to particular tasks or domains. As we pre-train larger models, full ﬁne-tuning, which retrains all model parameters, becomes less feasible. Using GPT-3 175B as an example – deploying independent instances of ﬁne-tuned models, each with 17</w:instrText>
      </w:r>
      <w:r>
        <w:rPr>
          <w:lang w:bidi="ar"/>
        </w:rPr>
        <w:instrText>5B parameters, is prohibitively expensive. We propose Low-Rank Adaptation, or LoRA, which freezes the pretrained model weights and injects trainable rank decomposition matrices into each layer of the Transformer architecture, greatly reducing the number of</w:instrText>
      </w:r>
      <w:r>
        <w:rPr>
          <w:lang w:bidi="ar"/>
        </w:rPr>
        <w:instrText xml:space="preserve"> trainable parameters for downstream tasks. Compared to GPT-3 175B ﬁne-tuned with Adam, LoRA can reduce the number of trainable parameters by 10,000 times and the GPU memory requirement by 3 times. LoRA performs on-par or better than ﬁnetuning in model qua</w:instrText>
      </w:r>
      <w:r>
        <w:rPr>
          <w:lang w:bidi="ar"/>
        </w:rPr>
        <w:instrText>lity on RoBERTa, DeBERTa, GPT-2, and GPT-3, despite having fewer trainable parameters, a higher training throughput, and, unlike adapters, no additional inference latency. We also provide an empirical investigation into rank-deﬁciency in language model ada</w:instrText>
      </w:r>
      <w:r>
        <w:rPr>
          <w:lang w:bidi="ar"/>
        </w:rPr>
        <w:instrText>ptation, which sheds light on the efﬁcacy of LoRA. We release a package that facilitates the integration of LoRA with PyTorch models and provide our implementations and model checkpoints for RoBERTa, DeBERTa, and GPT-2 at https://github.com/microsoft/LoRA.</w:instrText>
      </w:r>
      <w:r>
        <w:rPr>
          <w:lang w:bidi="ar"/>
        </w:rPr>
        <w:instrText>","language":"en","note":"arXiv:2106.09685 [cs]","number":"arXiv:2106.09685","publisher":"arXiv","source":"arXiv.org","title":"LoRA: Low-Rank Adaptation of Large Language Models","title-short":"LoRA","URL":"http://arxiv.org/abs/2106.09685","author":[{"fami</w:instrText>
      </w:r>
      <w:r>
        <w:rPr>
          <w:lang w:bidi="ar"/>
        </w:rPr>
        <w:instrText>ly":"Hu","given":"Edward J."},{"family":"Shen","given":"Yelong"},{"family":"Wallis","given":"Phillip"},{"family":"Allen-Zhu","given":"Zeyuan"},{"family":"Li","given":"Yuanzhi"},{"family":"Wang","given":"Shean"},{"family":"Wang","given":"Lu"},{"family":"Che</w:instrText>
      </w:r>
      <w:r>
        <w:rPr>
          <w:lang w:bidi="ar"/>
        </w:rPr>
        <w:instrText xml:space="preserve">n","given":"Weizhu"}],"accessed":{"date-parts":[["2024",2,24]]},"issued":{"date-parts":[["2021",10,16]]}}}],"schema":"https://github.com/citation-style-language/schema/raw/master/csl-citation.json"} </w:instrText>
      </w:r>
      <w:r>
        <w:rPr>
          <w:lang w:bidi="ar"/>
        </w:rPr>
        <w:fldChar w:fldCharType="separate"/>
      </w:r>
      <w:r>
        <w:rPr>
          <w:kern w:val="0"/>
          <w:szCs w:val="24"/>
          <w:vertAlign w:val="superscript"/>
        </w:rPr>
        <w:t>14</w:t>
      </w:r>
      <w:r>
        <w:rPr>
          <w:lang w:bidi="ar"/>
        </w:rPr>
        <w:fldChar w:fldCharType="end"/>
      </w:r>
      <w:r>
        <w:rPr>
          <w:lang w:bidi="ar"/>
        </w:rPr>
        <w:t xml:space="preserve"> LoRA is a fine-tuning technique for large language models, particularly suited for tasks like fine-tuning large language models to predict biodegradation half-lives. Its core concept is based on low-rank matrix decomposition, enabling adjustments to the m</w:t>
      </w:r>
      <w:r>
        <w:rPr>
          <w:lang w:bidi="ar"/>
        </w:rPr>
        <w:t>odel's behavior through small-scale yet effective modifications to specific internal parameters. The key advantage of LoRA lies in its ability to effectively fine-tune large models with a minimal increase in parameters. In LoRA, low-rank decomposition is u</w:t>
      </w:r>
      <w:r>
        <w:rPr>
          <w:lang w:bidi="ar"/>
        </w:rPr>
        <w:t xml:space="preserve">sed in the fine-tuning process of the model. Instead of altering all parameters of the entire model, LoRA focuses on modifying key parts, such as the </w:t>
      </w:r>
      <w:r>
        <w:rPr>
          <w:lang w:bidi="ar"/>
        </w:rPr>
        <w:lastRenderedPageBreak/>
        <w:t>weights of attention layers. By applying low-rank decomposition to these crucial parts, LoRA can effective</w:t>
      </w:r>
      <w:r>
        <w:rPr>
          <w:lang w:bidi="ar"/>
        </w:rPr>
        <w:t xml:space="preserve">ly modify the model's behavior with minimal additional parameters. Low-rank matrix decomposition is a mathematical method for approximating large matrices. A 'matrix' can represent the weight or parameter set of a large language model. </w:t>
      </w:r>
      <w:r>
        <w:rPr>
          <w:rFonts w:hint="eastAsia"/>
          <w:lang w:bidi="ar"/>
        </w:rPr>
        <w:t>The goal of low-rank</w:t>
      </w:r>
      <w:r>
        <w:rPr>
          <w:rFonts w:hint="eastAsia"/>
          <w:lang w:bidi="ar"/>
        </w:rPr>
        <w:t xml:space="preserve"> decomposition is to find two or more smaller matrices that, when multiplied together, approximate the original large matrix.</w:t>
      </w:r>
      <w:r>
        <w:rPr>
          <w:lang w:bidi="ar"/>
        </w:rPr>
        <w:t xml:space="preserve"> The 'rank' of these smaller matrices is much lower than that of the original matrix. Fine-tuning large language models to adapt to</w:t>
      </w:r>
      <w:r>
        <w:rPr>
          <w:lang w:bidi="ar"/>
        </w:rPr>
        <w:t xml:space="preserve"> specific domains, such as through the LoRA method, is notably effective and efficient due to several key factors. When applying LoRA for fine-tuning, we select the second-to-last layer of the Transformer in Llama 2-13B-chat. LoRA then modifies these param</w:t>
      </w:r>
      <w:r>
        <w:rPr>
          <w:lang w:bidi="ar"/>
        </w:rPr>
        <w:t>eters by adding low-rank matrices, whose rank is much smaller relative to the rank of the original parameter matrices. Specifically for the task of predicting biodegradation half-lives, LoRA can be used to fine-tune the language model for better understand</w:t>
      </w:r>
      <w:r>
        <w:rPr>
          <w:lang w:bidi="ar"/>
        </w:rPr>
        <w:t>ing and prediction of the degradation process of chemical substances. LoRA makes this process both precise and efficient, as it allows the model to make detailed adjustments for specific tasks while maintaining a vast knowledge base.</w:t>
      </w:r>
    </w:p>
    <w:p w14:paraId="2E2C90E0" w14:textId="77777777" w:rsidR="000F3761" w:rsidRDefault="00AB3A62">
      <w:pPr>
        <w:pStyle w:val="msolistparagraph0"/>
        <w:widowControl/>
        <w:spacing w:line="480" w:lineRule="auto"/>
        <w:ind w:firstLineChars="100" w:firstLine="241"/>
        <w:outlineLvl w:val="1"/>
        <w:rPr>
          <w:lang w:bidi="ar"/>
        </w:rPr>
      </w:pPr>
      <w:r>
        <w:rPr>
          <w:rFonts w:ascii="Times New Roman Bold" w:hAnsi="Times New Roman Bold" w:cs="Times New Roman Bold"/>
          <w:b/>
          <w:bCs/>
          <w:lang w:bidi="ar"/>
        </w:rPr>
        <w:t>LoRA</w:t>
      </w:r>
      <w:r>
        <w:rPr>
          <w:rFonts w:ascii="Times New Roman Bold" w:hAnsi="Times New Roman Bold" w:cs="Times New Roman Bold" w:hint="eastAsia"/>
          <w:b/>
          <w:bCs/>
          <w:lang w:bidi="ar"/>
        </w:rPr>
        <w:t xml:space="preserve"> </w:t>
      </w:r>
      <w:r>
        <w:rPr>
          <w:lang w:bidi="ar"/>
        </w:rPr>
        <w:t>LoRA (Low-Rank Ad</w:t>
      </w:r>
      <w:r>
        <w:rPr>
          <w:lang w:bidi="ar"/>
        </w:rPr>
        <w:t>aptation) represents a significant leap in the fine-tuning of Large Language Models (LLMs) for specialized tasks, standing out for its ability to optimize model performance with minimal computational resource increases.</w:t>
      </w:r>
      <w:r>
        <w:rPr>
          <w:lang w:bidi="ar"/>
        </w:rPr>
        <w:fldChar w:fldCharType="begin"/>
      </w:r>
      <w:r>
        <w:rPr>
          <w:lang w:bidi="ar"/>
        </w:rPr>
        <w:instrText xml:space="preserve"> ADDIN ZOTERO_ITEM CSL_CITATION {"cit</w:instrText>
      </w:r>
      <w:r>
        <w:rPr>
          <w:lang w:bidi="ar"/>
        </w:rPr>
        <w:instrText>ationID":"vNmsAA8V","properties":{"formattedCitation":"\\super 14\\nosupersub{}","plainCitation":"14","noteIndex":0},"citationItems":[{"id":48,"uris":["http://zotero.org/users/local/4YXbPDcN/items/6VCHVL47"],"itemData":{"id":48,"type":"article","abstract":</w:instrText>
      </w:r>
      <w:r>
        <w:rPr>
          <w:lang w:bidi="ar"/>
        </w:rPr>
        <w:instrText>"An important paradigm of natural language processing consists of large-scale pretraining on general domain data and adaptation to particular tasks or domains. As we pre-train larger models, full ﬁne-tuning, which retrains all model parameters, becomes les</w:instrText>
      </w:r>
      <w:r>
        <w:rPr>
          <w:lang w:bidi="ar"/>
        </w:rPr>
        <w:instrText>s feasible. Using GPT-3 175B as an example – deploying independent instances of ﬁne-tuned models, each with 175B parameters, is prohibitively expensive. We propose Low-Rank Adaptation, or LoRA, which freezes the pretrained model weights and injects trainab</w:instrText>
      </w:r>
      <w:r>
        <w:rPr>
          <w:lang w:bidi="ar"/>
        </w:rPr>
        <w:instrText>le rank decomposition matrices into each layer of the Transformer architecture, greatly reducing the number of trainable parameters for downstream tasks. Compared to GPT-3 175B ﬁne-tuned with Adam, LoRA can reduce the number of trainable parameters by 10,0</w:instrText>
      </w:r>
      <w:r>
        <w:rPr>
          <w:lang w:bidi="ar"/>
        </w:rPr>
        <w:instrText>00 times and the GPU memory requirement by 3 times. LoRA performs on-par or better than ﬁnetuning in model quality on RoBERTa, DeBERTa, GPT-2, and GPT-3, despite having fewer trainable parameters, a higher training throughput, and, unlike adapters, no addi</w:instrText>
      </w:r>
      <w:r>
        <w:rPr>
          <w:lang w:bidi="ar"/>
        </w:rPr>
        <w:instrText>tional inference latency. We also provide an empirical investigation into rank-deﬁciency in language model adaptation, which sheds light on the efﬁcacy of LoRA. We release a package that facilitates the integration of LoRA with PyTorch models and provide o</w:instrText>
      </w:r>
      <w:r>
        <w:rPr>
          <w:lang w:bidi="ar"/>
        </w:rPr>
        <w:instrText>ur implementations and model checkpoints for RoBERTa, DeBERTa, and GPT-2 at https://github.com/microsoft/LoRA.","language":"en","note":"arXiv:2106.09685 [cs]","number":"arXiv:2106.09685","publisher":"arXiv","source":"arXiv.org","title":"LoRA: Low-Rank Adap</w:instrText>
      </w:r>
      <w:r>
        <w:rPr>
          <w:lang w:bidi="ar"/>
        </w:rPr>
        <w:instrText>tation of Large Language Models","title-short":"LoRA","URL":"http://arxiv.org/abs/2106.09685","author":[{"family":"Hu","given":"Edward J."},{"family":"Shen","given":"Yelong"},{"family":"Wallis","given":"Phillip"},{"family":"Allen-Zhu","given":"Zeyuan"},{"f</w:instrText>
      </w:r>
      <w:r>
        <w:rPr>
          <w:lang w:bidi="ar"/>
        </w:rPr>
        <w:instrText>amily":"Li","given":"Yuanzhi"},{"family":"Wang","given":"Shean"},{"family":"Wang","given":"Lu"},{"family":"Chen","given":"Weizhu"}],"accessed":{"date-parts":[["2024",2,24]]},"issued":{"date-parts":[["2021",10,16]]}}}],"schema":"https://github.com/citation-</w:instrText>
      </w:r>
      <w:r>
        <w:rPr>
          <w:lang w:bidi="ar"/>
        </w:rPr>
        <w:instrText xml:space="preserve">style-language/schema/raw/master/csl-citation.json"} </w:instrText>
      </w:r>
      <w:r>
        <w:rPr>
          <w:lang w:bidi="ar"/>
        </w:rPr>
        <w:fldChar w:fldCharType="separate"/>
      </w:r>
      <w:r>
        <w:rPr>
          <w:kern w:val="0"/>
          <w:szCs w:val="24"/>
          <w:vertAlign w:val="superscript"/>
        </w:rPr>
        <w:t>14</w:t>
      </w:r>
      <w:r>
        <w:rPr>
          <w:lang w:bidi="ar"/>
        </w:rPr>
        <w:fldChar w:fldCharType="end"/>
      </w:r>
      <w:r>
        <w:rPr>
          <w:lang w:bidi="ar"/>
        </w:rPr>
        <w:t xml:space="preserve"> This technique specifically targets the weights of crucial layers within LLMs, such as the attention mechanisms of the Llama 2-13B-chat model, applying low-rank matrix </w:t>
      </w:r>
      <w:r>
        <w:rPr>
          <w:lang w:bidi="ar"/>
        </w:rPr>
        <w:lastRenderedPageBreak/>
        <w:t>decomposition to effectuate p</w:t>
      </w:r>
      <w:r>
        <w:rPr>
          <w:lang w:bidi="ar"/>
        </w:rPr>
        <w:t>recise, yet efficient modifications. LoRA's strength lies in its strategic approach to model adjustment, concentrating on altering pivotal parameters rather than overhauling the entire model structure. This method offers a balanced solution to enhancing mo</w:t>
      </w:r>
      <w:r>
        <w:rPr>
          <w:lang w:bidi="ar"/>
        </w:rPr>
        <w:t>del specificity and performance while conserving computational resources, making it an ideal choice for tasks requiring nuanced understanding and prediction, like the environmental science applications discussed. By maintaining the model's extensive knowle</w:t>
      </w:r>
      <w:r>
        <w:rPr>
          <w:lang w:bidi="ar"/>
        </w:rPr>
        <w:t>dge base and leveraging low-rank adjustments, LoRA paves the way for advanced predictive analytics in complex domains with reduced training times and lower energy consumption, exemplifying the fusion of cutting-edge AI techniques with sustainable computing</w:t>
      </w:r>
      <w:r>
        <w:rPr>
          <w:lang w:bidi="ar"/>
        </w:rPr>
        <w:t xml:space="preserve"> practices.</w:t>
      </w:r>
    </w:p>
    <w:p w14:paraId="7EBEA020" w14:textId="77777777" w:rsidR="000F3761" w:rsidRDefault="00AB3A62">
      <w:pPr>
        <w:pStyle w:val="msolistparagraph0"/>
        <w:widowControl/>
        <w:spacing w:line="480" w:lineRule="auto"/>
        <w:ind w:firstLineChars="100" w:firstLine="241"/>
        <w:outlineLvl w:val="1"/>
        <w:rPr>
          <w:lang w:bidi="ar"/>
        </w:rPr>
      </w:pPr>
      <w:r>
        <w:rPr>
          <w:b/>
          <w:bCs/>
        </w:rPr>
        <w:t xml:space="preserve">Evaluation metrics. </w:t>
      </w:r>
      <w:r>
        <w:rPr>
          <w:rFonts w:hint="eastAsia"/>
          <w:lang w:bidi="ar"/>
        </w:rPr>
        <w:t>Three key quantitative metrics are utilized to evaluate the efficacy of our developed regression model: Root Mean Square Error (RMSE), Mean Absolute Error (MAE), and the Coefficient of Determination (R</w:t>
      </w:r>
      <w:r>
        <w:rPr>
          <w:rFonts w:hint="eastAsia"/>
          <w:lang w:bidi="ar"/>
        </w:rPr>
        <w:t>²</w:t>
      </w:r>
      <w:r>
        <w:rPr>
          <w:rFonts w:hint="eastAsia"/>
          <w:lang w:bidi="ar"/>
        </w:rPr>
        <w:t>).</w:t>
      </w:r>
      <w:r>
        <w:rPr>
          <w:lang w:bidi="ar"/>
        </w:rPr>
        <w:fldChar w:fldCharType="begin"/>
      </w:r>
      <w:r>
        <w:rPr>
          <w:lang w:bidi="ar"/>
        </w:rPr>
        <w:instrText xml:space="preserve"> ADDIN ZOTERO_ITEM C</w:instrText>
      </w:r>
      <w:r>
        <w:rPr>
          <w:lang w:bidi="ar"/>
        </w:rPr>
        <w:instrText>SL_CITATION {"citationID":"RqCSGNO1","properties":{"formattedCitation":"\\super 15\\nosupersub{}","plainCitation":"15","noteIndex":0},"citationItems":[{"id":10,"uris":["http://zotero.org/users/local/4YXbPDcN/items/GJQR97WW"],"itemData":{"id":10,"type":"art</w:instrText>
      </w:r>
      <w:r>
        <w:rPr>
          <w:lang w:bidi="ar"/>
        </w:rPr>
        <w:instrText>icle","abstract":"The correct use of model evaluation, model selection, and algorithm selection techniques is vital in academic machine learning research as well as in many industrial settings. This article reviews different techniques that can be used for</w:instrText>
      </w:r>
      <w:r>
        <w:rPr>
          <w:lang w:bidi="ar"/>
        </w:rPr>
        <w:instrText xml:space="preserve"> each of these three subtasks and discusses the main advantages and disadvantages of each technique with references to theoretical and empirical studies. Further, recommendations are given to encourage best yet feasible practices in research and applicatio</w:instrText>
      </w:r>
      <w:r>
        <w:rPr>
          <w:lang w:bidi="ar"/>
        </w:rPr>
        <w:instrText>ns of machine learning. Common methods such as the holdout method for model evaluation and selection are covered, which are not recommended when working with small datasets. Different ﬂavors of the bootstrap technique are introduced for estimating the unce</w:instrText>
      </w:r>
      <w:r>
        <w:rPr>
          <w:lang w:bidi="ar"/>
        </w:rPr>
        <w:instrText>rtainty of performance estimates, as an alternative to conﬁdence intervals via normal approximation if bootstrapping is computationally feasible. Common cross-validation techniques such as leave-oneout cross-validation and k-fold cross-validation are revie</w:instrText>
      </w:r>
      <w:r>
        <w:rPr>
          <w:lang w:bidi="ar"/>
        </w:rPr>
        <w:instrText>wed, the bias-variance trade-off for choosing k is discussed, and practical tips for the optimal choice of k are given based on empirical evidence. Different statistical tests for algorithm comparisons are presented, and strategies for dealing with multipl</w:instrText>
      </w:r>
      <w:r>
        <w:rPr>
          <w:lang w:bidi="ar"/>
        </w:rPr>
        <w:instrText>e comparisons such as omnibus tests and multiple-comparison corrections are discussed. Finally, alternative methods for algorithm selection, such as the combined F -test 5x2 crossvalidation and nested cross-validation, are recommended for comparing machine</w:instrText>
      </w:r>
      <w:r>
        <w:rPr>
          <w:lang w:bidi="ar"/>
        </w:rPr>
        <w:instrText xml:space="preserve"> learning algorithms when datasets are small.","language":"en","note":"arXiv:1811.12808 [cs, stat]","number":"arXiv:1811.12808","publisher":"arXiv","source":"arXiv.org","title":"Model Evaluation, Model Selection, and Algorithm Selection in Machine Learning</w:instrText>
      </w:r>
      <w:r>
        <w:rPr>
          <w:lang w:bidi="ar"/>
        </w:rPr>
        <w:instrText>","URL":"http://arxiv.org/abs/1811.12808","author":[{"family":"Raschka","given":"Sebastian"}],"accessed":{"date-parts":[["2024",2,23]]},"issued":{"date-parts":[["2020",11,10]]}}}],"schema":"https://github.com/citation-style-language/schema/raw/master/csl-c</w:instrText>
      </w:r>
      <w:r>
        <w:rPr>
          <w:lang w:bidi="ar"/>
        </w:rPr>
        <w:instrText xml:space="preserve">itation.json"} </w:instrText>
      </w:r>
      <w:r>
        <w:rPr>
          <w:lang w:bidi="ar"/>
        </w:rPr>
        <w:fldChar w:fldCharType="separate"/>
      </w:r>
      <w:r>
        <w:rPr>
          <w:kern w:val="0"/>
          <w:szCs w:val="24"/>
          <w:vertAlign w:val="superscript"/>
        </w:rPr>
        <w:t>15</w:t>
      </w:r>
      <w:r>
        <w:rPr>
          <w:lang w:bidi="ar"/>
        </w:rPr>
        <w:fldChar w:fldCharType="end"/>
      </w:r>
      <w:r>
        <w:rPr>
          <w:rFonts w:hint="eastAsia"/>
          <w:lang w:bidi="ar"/>
        </w:rPr>
        <w:t xml:space="preserve"> RMSE quantifies the standard deviation of the prediction errors or residuals, reflecting the discrepancy between the predicted and observed values (as delineated in Equation 1). MAE provides an average magnitude of the absolute discrep</w:t>
      </w:r>
      <w:r>
        <w:rPr>
          <w:rFonts w:hint="eastAsia"/>
          <w:lang w:bidi="ar"/>
        </w:rPr>
        <w:t>ancies between predicted and observed values (refer to Equation 2), and R</w:t>
      </w:r>
      <w:r>
        <w:rPr>
          <w:rFonts w:hint="eastAsia"/>
          <w:lang w:bidi="ar"/>
        </w:rPr>
        <w:t>²</w:t>
      </w:r>
      <w:r>
        <w:rPr>
          <w:rFonts w:hint="eastAsia"/>
          <w:lang w:bidi="ar"/>
        </w:rPr>
        <w:t xml:space="preserve">, which spans from 0 to 1, serves as a statistical measure of fit, with values closer to 1 denoting a superior fit to the data (as defined in Equation 3). A model exhibiting optimal </w:t>
      </w:r>
      <w:r>
        <w:rPr>
          <w:rFonts w:hint="eastAsia"/>
          <w:lang w:bidi="ar"/>
        </w:rPr>
        <w:t>performance will demonstrate low RMSE and MAE scores, coupled with an R</w:t>
      </w:r>
      <w:r>
        <w:rPr>
          <w:rFonts w:hint="eastAsia"/>
          <w:lang w:bidi="ar"/>
        </w:rPr>
        <w:t>²</w:t>
      </w:r>
      <w:r>
        <w:rPr>
          <w:rFonts w:hint="eastAsia"/>
          <w:lang w:bidi="ar"/>
        </w:rPr>
        <w:t xml:space="preserve"> value nearing 1, indicating high predictive accuracy and model reliability.</w:t>
      </w:r>
    </w:p>
    <w:p w14:paraId="7211DD67" w14:textId="77777777" w:rsidR="000F3761" w:rsidRDefault="00AB3A62">
      <m:oMath>
        <m:r>
          <m:rPr>
            <m:sty m:val="p"/>
          </m:rPr>
          <w:rPr>
            <w:rFonts w:ascii="Cambria Math" w:hAnsi="Cambria Math"/>
            <w:sz w:val="24"/>
            <w:szCs w:val="28"/>
          </w:rPr>
          <m:t>RMSE=</m:t>
        </m:r>
        <m:rad>
          <m:radPr>
            <m:degHide m:val="1"/>
            <m:ctrlPr>
              <w:rPr>
                <w:rFonts w:ascii="Cambria Math" w:hAnsi="Cambria Math"/>
                <w:sz w:val="24"/>
                <w:szCs w:val="28"/>
              </w:rPr>
            </m:ctrlPr>
          </m:radPr>
          <m:deg/>
          <m:e>
            <m:f>
              <m:fPr>
                <m:ctrlPr>
                  <w:rPr>
                    <w:rFonts w:ascii="Cambria Math" w:hAnsi="Cambria Math"/>
                    <w:i/>
                    <w:sz w:val="24"/>
                    <w:szCs w:val="28"/>
                  </w:rPr>
                </m:ctrlPr>
              </m:fPr>
              <m:num>
                <m:nary>
                  <m:naryPr>
                    <m:chr m:val="∑"/>
                    <m:limLoc m:val="undOvr"/>
                    <m:ctrlPr>
                      <w:rPr>
                        <w:rFonts w:ascii="Cambria Math" w:hAnsi="Cambria Math"/>
                        <w:i/>
                        <w:sz w:val="24"/>
                        <w:szCs w:val="28"/>
                      </w:rPr>
                    </m:ctrlPr>
                  </m:naryPr>
                  <m:sub>
                    <m:r>
                      <w:rPr>
                        <w:rFonts w:ascii="Cambria Math" w:hAnsi="Cambria Math" w:hint="eastAsia"/>
                        <w:sz w:val="24"/>
                        <w:szCs w:val="28"/>
                      </w:rPr>
                      <m:t>n</m:t>
                    </m:r>
                  </m:sub>
                  <m:sup>
                    <m:r>
                      <w:rPr>
                        <w:rFonts w:ascii="Cambria Math" w:hAnsi="Cambria Math"/>
                        <w:sz w:val="24"/>
                        <w:szCs w:val="28"/>
                      </w:rPr>
                      <m:t>i</m:t>
                    </m:r>
                    <m:r>
                      <w:rPr>
                        <w:rFonts w:ascii="Cambria Math" w:hAnsi="Cambria Math" w:hint="eastAsia"/>
                        <w:sz w:val="24"/>
                        <w:szCs w:val="28"/>
                      </w:rPr>
                      <m:t>=1</m:t>
                    </m:r>
                  </m:sup>
                  <m:e>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biodgra</m:t>
                        </m:r>
                      </m:e>
                      <m:sup>
                        <m:r>
                          <w:rPr>
                            <w:rFonts w:ascii="Cambria Math" w:hAnsi="Cambria Math"/>
                            <w:sz w:val="24"/>
                            <w:szCs w:val="28"/>
                          </w:rPr>
                          <m:t>exp</m:t>
                        </m:r>
                      </m:sup>
                    </m:sSup>
                    <m:sSup>
                      <m:sSupPr>
                        <m:ctrlPr>
                          <w:rPr>
                            <w:rFonts w:ascii="Cambria Math" w:hAnsi="Cambria Math"/>
                            <w:i/>
                            <w:sz w:val="24"/>
                            <w:szCs w:val="28"/>
                          </w:rPr>
                        </m:ctrlPr>
                      </m:sSupPr>
                      <m:e>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biodgra</m:t>
                            </m:r>
                          </m:e>
                          <m:sup>
                            <m:r>
                              <w:rPr>
                                <w:rFonts w:ascii="Cambria Math" w:hAnsi="Cambria Math"/>
                                <w:sz w:val="24"/>
                                <w:szCs w:val="28"/>
                              </w:rPr>
                              <m:t>pred</m:t>
                            </m:r>
                          </m:sup>
                        </m:sSup>
                        <m:r>
                          <w:rPr>
                            <w:rFonts w:ascii="Cambria Math" w:hAnsi="Cambria Math"/>
                            <w:sz w:val="24"/>
                            <w:szCs w:val="28"/>
                          </w:rPr>
                          <m:t>)</m:t>
                        </m:r>
                      </m:e>
                      <m:sup>
                        <m:r>
                          <w:rPr>
                            <w:rFonts w:ascii="Cambria Math" w:hAnsi="Cambria Math"/>
                            <w:sz w:val="24"/>
                            <w:szCs w:val="28"/>
                          </w:rPr>
                          <m:t>2</m:t>
                        </m:r>
                      </m:sup>
                    </m:sSup>
                  </m:e>
                </m:nary>
              </m:num>
              <m:den>
                <m:r>
                  <w:rPr>
                    <w:rFonts w:ascii="Cambria Math" w:hAnsi="Cambria Math"/>
                    <w:sz w:val="24"/>
                    <w:szCs w:val="28"/>
                  </w:rPr>
                  <m:t>n</m:t>
                </m:r>
              </m:den>
            </m:f>
          </m:e>
        </m:rad>
      </m:oMath>
      <w:r>
        <w:rPr>
          <w:rFonts w:hint="eastAsia"/>
        </w:rPr>
        <w:t xml:space="preserve"> </w:t>
      </w:r>
      <w:r>
        <w:t xml:space="preserve">                                      </w:t>
      </w:r>
      <w:r>
        <w:rPr>
          <w:rFonts w:ascii="Times New Roman" w:eastAsia="宋体" w:hAnsi="Times New Roman"/>
          <w:iCs/>
          <w:sz w:val="24"/>
        </w:rPr>
        <w:t>(1)</w:t>
      </w:r>
    </w:p>
    <w:p w14:paraId="32679EB2" w14:textId="77777777" w:rsidR="000F3761" w:rsidRDefault="00AB3A62">
      <m:oMath>
        <m:r>
          <m:rPr>
            <m:sty m:val="p"/>
          </m:rPr>
          <w:rPr>
            <w:rFonts w:ascii="Cambria Math" w:hAnsi="Cambria Math"/>
            <w:sz w:val="24"/>
            <w:szCs w:val="28"/>
          </w:rPr>
          <w:lastRenderedPageBreak/>
          <m:t>MAE=</m:t>
        </m:r>
        <m:f>
          <m:fPr>
            <m:ctrlPr>
              <w:rPr>
                <w:rFonts w:ascii="Cambria Math" w:hAnsi="Cambria Math"/>
                <w:sz w:val="24"/>
                <w:szCs w:val="28"/>
              </w:rPr>
            </m:ctrlPr>
          </m:fPr>
          <m:num>
            <m:nary>
              <m:naryPr>
                <m:chr m:val="∑"/>
                <m:limLoc m:val="subSup"/>
                <m:ctrlPr>
                  <w:rPr>
                    <w:rFonts w:ascii="Cambria Math" w:hAnsi="Cambria Math"/>
                    <w:i/>
                    <w:sz w:val="24"/>
                    <w:szCs w:val="28"/>
                  </w:rPr>
                </m:ctrlPr>
              </m:naryPr>
              <m:sub>
                <m:r>
                  <w:rPr>
                    <w:rFonts w:ascii="Cambria Math" w:hAnsi="Cambria Math" w:hint="eastAsia"/>
                    <w:sz w:val="24"/>
                    <w:szCs w:val="28"/>
                  </w:rPr>
                  <m:t>n</m:t>
                </m:r>
              </m:sub>
              <m:sup>
                <m:r>
                  <w:rPr>
                    <w:rFonts w:ascii="Cambria Math" w:hAnsi="Cambria Math"/>
                    <w:sz w:val="24"/>
                    <w:szCs w:val="28"/>
                  </w:rPr>
                  <m:t>i</m:t>
                </m:r>
              </m:sup>
              <m:e>
                <m:d>
                  <m:dPr>
                    <m:begChr m:val="|"/>
                    <m:endChr m:val="|"/>
                    <m:ctrlPr>
                      <w:rPr>
                        <w:rFonts w:ascii="Cambria Math" w:hAnsi="Cambria Math"/>
                        <w:i/>
                        <w:sz w:val="24"/>
                        <w:szCs w:val="28"/>
                      </w:rPr>
                    </m:ctrlPr>
                  </m:dPr>
                  <m:e>
                    <m:sSup>
                      <m:sSupPr>
                        <m:ctrlPr>
                          <w:rPr>
                            <w:rFonts w:ascii="Cambria Math" w:hAnsi="Cambria Math"/>
                            <w:i/>
                            <w:sz w:val="24"/>
                            <w:szCs w:val="28"/>
                          </w:rPr>
                        </m:ctrlPr>
                      </m:sSupPr>
                      <m:e>
                        <m:r>
                          <w:rPr>
                            <w:rFonts w:ascii="Cambria Math" w:hAnsi="Cambria Math"/>
                            <w:sz w:val="24"/>
                            <w:szCs w:val="28"/>
                          </w:rPr>
                          <m:t>biodgra</m:t>
                        </m:r>
                      </m:e>
                      <m:sup>
                        <m:r>
                          <w:rPr>
                            <w:rFonts w:ascii="Cambria Math" w:hAnsi="Cambria Math"/>
                            <w:sz w:val="24"/>
                            <w:szCs w:val="28"/>
                          </w:rPr>
                          <m:t>exp</m:t>
                        </m:r>
                      </m:sup>
                    </m:sSup>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biodgra</m:t>
                        </m:r>
                      </m:e>
                      <m:sup>
                        <m:sSup>
                          <m:sSupPr>
                            <m:ctrlPr>
                              <w:rPr>
                                <w:rFonts w:ascii="Cambria Math" w:hAnsi="Cambria Math"/>
                                <w:i/>
                                <w:sz w:val="24"/>
                                <w:szCs w:val="28"/>
                              </w:rPr>
                            </m:ctrlPr>
                          </m:sSupPr>
                          <m:e>
                            <m:r>
                              <w:rPr>
                                <w:rFonts w:ascii="Cambria Math" w:hAnsi="Cambria Math"/>
                                <w:sz w:val="24"/>
                                <w:szCs w:val="28"/>
                              </w:rPr>
                              <m:t>pred</m:t>
                            </m:r>
                          </m:e>
                          <m:sup>
                            <m:r>
                              <w:rPr>
                                <w:rFonts w:ascii="Cambria Math" w:hAnsi="Cambria Math" w:hint="eastAsia"/>
                                <w:sz w:val="24"/>
                                <w:szCs w:val="28"/>
                              </w:rPr>
                              <m:t>。</m:t>
                            </m:r>
                          </m:sup>
                        </m:sSup>
                      </m:sup>
                    </m:sSup>
                  </m:e>
                </m:d>
              </m:e>
            </m:nary>
          </m:num>
          <m:den>
            <m:r>
              <w:rPr>
                <w:rFonts w:ascii="Cambria Math" w:hAnsi="Cambria Math"/>
                <w:sz w:val="24"/>
                <w:szCs w:val="28"/>
              </w:rPr>
              <m:t>n</m:t>
            </m:r>
          </m:den>
        </m:f>
      </m:oMath>
      <w:r>
        <w:rPr>
          <w:rFonts w:hint="eastAsia"/>
        </w:rPr>
        <w:t xml:space="preserve"> </w:t>
      </w:r>
      <w:r>
        <w:t xml:space="preserve">                                          </w:t>
      </w:r>
      <w:r>
        <w:rPr>
          <w:rFonts w:ascii="Times New Roman" w:eastAsia="宋体" w:hAnsi="Times New Roman"/>
          <w:iCs/>
          <w:sz w:val="24"/>
        </w:rPr>
        <w:t>(2)</w:t>
      </w:r>
    </w:p>
    <w:p w14:paraId="4C3FEA41" w14:textId="77777777" w:rsidR="000F3761" w:rsidRDefault="00AB3A62">
      <w:pPr>
        <w:pStyle w:val="msolistparagraph0"/>
        <w:widowControl/>
        <w:spacing w:line="480" w:lineRule="auto"/>
        <w:ind w:firstLineChars="0" w:firstLine="0"/>
        <w:outlineLvl w:val="1"/>
        <w:rPr>
          <w:lang w:bidi="ar"/>
        </w:rPr>
      </w:pPr>
      <m:oMath>
        <m:sSup>
          <m:sSupPr>
            <m:ctrlPr>
              <w:rPr>
                <w:rFonts w:ascii="Cambria Math" w:hAnsi="Cambria Math"/>
              </w:rPr>
            </m:ctrlPr>
          </m:sSupPr>
          <m:e>
            <m:r>
              <m:rPr>
                <m:sty m:val="p"/>
              </m:rPr>
              <w:rPr>
                <w:rFonts w:ascii="Cambria Math" w:hAnsi="Cambria Math"/>
              </w:rPr>
              <m:t>R</m:t>
            </m:r>
          </m:e>
          <m:sup>
            <m:r>
              <w:rPr>
                <w:rFonts w:ascii="Cambria Math" w:hAnsi="Cambria Math"/>
              </w:rPr>
              <m:t>2</m:t>
            </m:r>
          </m:sup>
        </m:sSup>
        <m:r>
          <m:rPr>
            <m:sty m:val="p"/>
          </m:rPr>
          <w:rPr>
            <w:rFonts w:ascii="Cambria Math" w:hAnsi="Cambria Math"/>
          </w:rPr>
          <m:t>=1-</m:t>
        </m:r>
        <m:f>
          <m:fPr>
            <m:ctrlPr>
              <w:rPr>
                <w:rFonts w:ascii="Cambria Math" w:hAnsi="Cambria Math"/>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biodgra</m:t>
                        </m:r>
                      </m:e>
                      <m:sup>
                        <m:r>
                          <w:rPr>
                            <w:rFonts w:ascii="Cambria Math" w:hAnsi="Cambria Math"/>
                          </w:rPr>
                          <m:t>exp</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biodgra</m:t>
                            </m:r>
                          </m:e>
                          <m:sup>
                            <m:r>
                              <w:rPr>
                                <w:rFonts w:ascii="Cambria Math" w:hAnsi="Cambria Math"/>
                              </w:rPr>
                              <m:t>exp</m:t>
                            </m:r>
                          </m:sup>
                        </m:sSup>
                      </m:e>
                    </m:acc>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hint="eastAsia"/>
                  </w:rPr>
                  <m:t>n</m:t>
                </m:r>
              </m:sub>
              <m:sup>
                <m:r>
                  <w:rPr>
                    <w:rFonts w:ascii="Cambria Math" w:hAnsi="Cambria Math"/>
                  </w:rPr>
                  <m:t>i</m:t>
                </m:r>
                <m:r>
                  <w:rPr>
                    <w:rFonts w:ascii="Cambria Math" w:hAnsi="Cambria Math" w:hint="eastAsia"/>
                  </w:rPr>
                  <m:t>=1</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biodgra</m:t>
                        </m:r>
                      </m:e>
                      <m:sup>
                        <m:r>
                          <w:rPr>
                            <w:rFonts w:ascii="Cambria Math" w:hAnsi="Cambria Math"/>
                          </w:rPr>
                          <m:t>exp</m:t>
                        </m:r>
                      </m:sup>
                    </m:sSup>
                    <m:r>
                      <w:rPr>
                        <w:rFonts w:ascii="Cambria Math" w:hAnsi="Cambria Math"/>
                      </w:rPr>
                      <m:t>-</m:t>
                    </m:r>
                    <m:sSup>
                      <m:sSupPr>
                        <m:ctrlPr>
                          <w:rPr>
                            <w:rFonts w:ascii="Cambria Math" w:hAnsi="Cambria Math"/>
                            <w:i/>
                          </w:rPr>
                        </m:ctrlPr>
                      </m:sSupPr>
                      <m:e>
                        <m:r>
                          <w:rPr>
                            <w:rFonts w:ascii="Cambria Math" w:hAnsi="Cambria Math"/>
                          </w:rPr>
                          <m:t>biodgra</m:t>
                        </m:r>
                      </m:e>
                      <m:sup>
                        <m:r>
                          <w:rPr>
                            <w:rFonts w:ascii="Cambria Math" w:hAnsi="Cambria Math"/>
                          </w:rPr>
                          <m:t>pred</m:t>
                        </m:r>
                      </m:sup>
                    </m:sSup>
                    <m:r>
                      <w:rPr>
                        <w:rFonts w:ascii="Cambria Math" w:hAnsi="Cambria Math"/>
                      </w:rPr>
                      <m:t>)</m:t>
                    </m:r>
                  </m:e>
                  <m:sup>
                    <m:r>
                      <w:rPr>
                        <w:rFonts w:ascii="Cambria Math" w:hAnsi="Cambria Math"/>
                      </w:rPr>
                      <m:t>2</m:t>
                    </m:r>
                  </m:sup>
                </m:sSup>
              </m:e>
            </m:nary>
          </m:den>
        </m:f>
      </m:oMath>
      <w:r>
        <w:rPr>
          <w:rFonts w:hint="eastAsia"/>
        </w:rPr>
        <w:t xml:space="preserve"> </w:t>
      </w:r>
      <w:r>
        <w:t xml:space="preserve">           </w:t>
      </w:r>
      <w:r>
        <w:t xml:space="preserve">                      </w:t>
      </w:r>
      <w:r>
        <w:rPr>
          <w:rFonts w:cstheme="minorBidi" w:hint="eastAsia"/>
          <w:iCs/>
        </w:rPr>
        <w:t xml:space="preserve"> </w:t>
      </w:r>
      <w:r>
        <w:rPr>
          <w:iCs/>
        </w:rPr>
        <w:t>(3)</w:t>
      </w:r>
    </w:p>
    <w:p w14:paraId="4B0AA66A" w14:textId="77777777" w:rsidR="000F3761" w:rsidRDefault="00AB3A62">
      <w:pPr>
        <w:pStyle w:val="2"/>
        <w:spacing w:line="480" w:lineRule="auto"/>
        <w:ind w:firstLineChars="100" w:firstLine="241"/>
        <w:outlineLvl w:val="0"/>
        <w:rPr>
          <w:bCs/>
          <w:color w:val="000000"/>
        </w:rPr>
      </w:pPr>
      <w:r>
        <w:rPr>
          <w:rFonts w:ascii="Times New Roman Bold" w:hAnsi="Times New Roman Bold" w:cs="Times New Roman Bold"/>
          <w:b/>
          <w:color w:val="000000"/>
        </w:rPr>
        <w:t xml:space="preserve">Chain of Thought and Interpretability. </w:t>
      </w:r>
      <w:r>
        <w:rPr>
          <w:rFonts w:hint="eastAsia"/>
          <w:bCs/>
          <w:color w:val="000000"/>
        </w:rPr>
        <w:t>Chain of Thought (CoT) is a technique to enhance the reasoning abilities and interpretability of large language models by simulating the step-by-step reasoning process of humans.</w:t>
      </w:r>
      <w:r>
        <w:rPr>
          <w:bCs/>
          <w:color w:val="000000"/>
        </w:rPr>
        <w:fldChar w:fldCharType="begin"/>
      </w:r>
      <w:r>
        <w:rPr>
          <w:bCs/>
          <w:color w:val="000000"/>
        </w:rPr>
        <w:instrText xml:space="preserve"> ADDIN ZOTERO_ITEM CSL_CITATION {"citationID":"YLo44b3c","properties":{"formattedCitation":"\\super 13\\nosupersub{}","plainCitation":"13","noteIndex":0},"citationItems":[{"id":56,"uris":["http://zotero.org/users/local/4YXbPDcN/items/D6EL2A4A"],"itemData":</w:instrText>
      </w:r>
      <w:r>
        <w:rPr>
          <w:bCs/>
          <w:color w:val="000000"/>
        </w:rPr>
        <w:instrText>{"id":56,"type":"article","abstract":"We explore how generating a chain of thought -- a series of intermediate reasoning steps -- significantly improves the ability of large language models to perform complex reasoning. In particular, we show how such reas</w:instrText>
      </w:r>
      <w:r>
        <w:rPr>
          <w:bCs/>
          <w:color w:val="000000"/>
        </w:rPr>
        <w:instrText>oning abilities emerge naturally in sufficiently large language models via a simple method called chain of thought prompting, where a few chain of thought demonstrations are provided as exemplars in prompting. Experiments on three large language models sho</w:instrText>
      </w:r>
      <w:r>
        <w:rPr>
          <w:bCs/>
          <w:color w:val="000000"/>
        </w:rPr>
        <w:instrText>w that chain of thought prompting improves performance on a range of arithmetic, commonsense, and symbolic reasoning tasks. The empirical gains can be striking. For instance, prompting a 540B-parameter language model with just eight chain of thought exempl</w:instrText>
      </w:r>
      <w:r>
        <w:rPr>
          <w:bCs/>
          <w:color w:val="000000"/>
        </w:rPr>
        <w:instrText>ars achieves state of the art accuracy on the GSM8K benchmark of math word problems, surpassing even finetuned GPT-3 with a verifier.","note":"arXiv:2201.11903 [cs]","number":"arXiv:2201.11903","publisher":"arXiv","source":"arXiv.org","title":"Chain-of-Tho</w:instrText>
      </w:r>
      <w:r>
        <w:rPr>
          <w:bCs/>
          <w:color w:val="000000"/>
        </w:rPr>
        <w:instrText>ught Prompting Elicits Reasoning in Large Language Models","URL":"http://arxiv.org/abs/2201.11903","author":[{"family":"Wei","given":"Jason"},{"family":"Wang","given":"Xuezhi"},{"family":"Schuurmans","given":"Dale"},{"family":"Bosma","given":"Maarten"},{"f</w:instrText>
      </w:r>
      <w:r>
        <w:rPr>
          <w:bCs/>
          <w:color w:val="000000"/>
        </w:rPr>
        <w:instrText>amily":"Ichter","given":"Brian"},{"family":"Xia","given":"Fei"},{"family":"Chi","given":"Ed"},{"family":"Le","given":"Quoc"},{"family":"Zhou","given":"Denny"}],"accessed":{"date-parts":[["2024",2,24]]},"issued":{"date-parts":[["2023",1,10]]}}}],"schema":"h</w:instrText>
      </w:r>
      <w:r>
        <w:rPr>
          <w:bCs/>
          <w:color w:val="000000"/>
        </w:rPr>
        <w:instrText xml:space="preserve">ttps://github.com/citation-style-language/schema/raw/master/csl-citation.json"} </w:instrText>
      </w:r>
      <w:r>
        <w:rPr>
          <w:bCs/>
          <w:color w:val="000000"/>
        </w:rPr>
        <w:fldChar w:fldCharType="separate"/>
      </w:r>
      <w:r>
        <w:rPr>
          <w:kern w:val="0"/>
          <w:szCs w:val="24"/>
          <w:vertAlign w:val="superscript"/>
        </w:rPr>
        <w:t>13</w:t>
      </w:r>
      <w:r>
        <w:rPr>
          <w:bCs/>
          <w:color w:val="000000"/>
        </w:rPr>
        <w:fldChar w:fldCharType="end"/>
      </w:r>
      <w:r>
        <w:rPr>
          <w:rFonts w:hint="eastAsia"/>
          <w:bCs/>
          <w:color w:val="000000"/>
        </w:rPr>
        <w:t xml:space="preserve"> This method excels in handling complex problems, particularly suitable for deep understanding tasks such as predicting the biodegradation half-life of chemical substances</w:t>
      </w:r>
      <w:r>
        <w:rPr>
          <w:rFonts w:hint="eastAsia"/>
          <w:bCs/>
          <w:color w:val="000000"/>
        </w:rPr>
        <w:t>. Using CoT, the model can demonstrate a more in-depth and detailed reasoning process, not only improving the accuracy of the predictions but also enhancing the interpretability of the results and the user's trust. Under the CoT framework, the model is gui</w:t>
      </w:r>
      <w:r>
        <w:rPr>
          <w:rFonts w:hint="eastAsia"/>
          <w:bCs/>
          <w:color w:val="000000"/>
        </w:rPr>
        <w:t>ded to follow several key principles, thereby enhancing its predictive and reasoning capabilities in complex tasks. Here is a detailed analysis of these principles:</w:t>
      </w:r>
      <w:r>
        <w:rPr>
          <w:bCs/>
          <w:color w:val="000000"/>
        </w:rPr>
        <w:t xml:space="preserve"> </w:t>
      </w:r>
      <w:r>
        <w:rPr>
          <w:rFonts w:hint="eastAsia"/>
          <w:bCs/>
          <w:color w:val="000000"/>
        </w:rPr>
        <w:t>Step-by-step reasoning process: The CoT method emphasizes that the model should adopt a ste</w:t>
      </w:r>
      <w:r>
        <w:rPr>
          <w:rFonts w:hint="eastAsia"/>
          <w:bCs/>
          <w:color w:val="000000"/>
        </w:rPr>
        <w:t>p-by-step reasoning approach, similar to how humans solve problems. This method helps in understanding and breaking down complex problems and clearly displaying the specific steps to solve them. For instance, in predicting the biodegradation half-life of t</w:t>
      </w:r>
      <w:r>
        <w:rPr>
          <w:rFonts w:hint="eastAsia"/>
          <w:bCs/>
          <w:color w:val="000000"/>
        </w:rPr>
        <w:t>he chemical substance DTXSID70790800, CoT first requires the model to analyze the compound's chemical structure in detail, identify key functional groups (such as 2 Br, 4 F), and then assess the specific impact of these groups on the compound's stability a</w:t>
      </w:r>
      <w:r>
        <w:rPr>
          <w:rFonts w:hint="eastAsia"/>
          <w:bCs/>
          <w:color w:val="000000"/>
        </w:rPr>
        <w:t>nd reactivity. This process not only helps the model to more accurately predict the compound's half-life but also enhances the understanding of the reasoning process.</w:t>
      </w:r>
      <w:r>
        <w:rPr>
          <w:bCs/>
          <w:color w:val="000000"/>
        </w:rPr>
        <w:t xml:space="preserve"> </w:t>
      </w:r>
      <w:r>
        <w:rPr>
          <w:rFonts w:hint="eastAsia"/>
          <w:bCs/>
          <w:color w:val="000000"/>
        </w:rPr>
        <w:t xml:space="preserve">Transparency and Interpretability: The CoT method emphasizes generating explanatory text </w:t>
      </w:r>
      <w:r>
        <w:rPr>
          <w:rFonts w:hint="eastAsia"/>
          <w:bCs/>
          <w:color w:val="000000"/>
        </w:rPr>
        <w:t xml:space="preserve">during the </w:t>
      </w:r>
      <w:r>
        <w:rPr>
          <w:rFonts w:hint="eastAsia"/>
          <w:bCs/>
          <w:color w:val="000000"/>
        </w:rPr>
        <w:lastRenderedPageBreak/>
        <w:t>reasoning process, making the model's decision-making process more transparent. This transparency greatly enhances the user's understanding and trust in the model's predictions. For example, in the prediction of the half-life of the chemical sub</w:t>
      </w:r>
      <w:r>
        <w:rPr>
          <w:rFonts w:hint="eastAsia"/>
          <w:bCs/>
          <w:color w:val="000000"/>
        </w:rPr>
        <w:t>stance DTXSID70790800,</w:t>
      </w:r>
      <w:r>
        <w:rPr>
          <w:rFonts w:hint="eastAsia"/>
          <w:bCs/>
          <w:color w:val="000000"/>
        </w:rPr>
        <w:t xml:space="preserve"> the model not only provides the prediction result (5.32 days) but a</w:t>
      </w:r>
      <w:r>
        <w:rPr>
          <w:rFonts w:hint="eastAsia"/>
          <w:bCs/>
          <w:color w:val="000000"/>
        </w:rPr>
        <w:t xml:space="preserve">lso explains the reasoning, including the analysis of the impact of multiple halogens (2 Br, 4 F) and the diketone group. Such explanations provide users with a deep </w:t>
      </w:r>
      <w:r>
        <w:rPr>
          <w:rFonts w:hint="eastAsia"/>
          <w:bCs/>
          <w:color w:val="000000"/>
        </w:rPr>
        <w:t>understanding of the logic behind the prediction results, increasing trust in the predictions.</w:t>
      </w:r>
      <w:r>
        <w:rPr>
          <w:bCs/>
          <w:color w:val="000000"/>
        </w:rPr>
        <w:t xml:space="preserve"> </w:t>
      </w:r>
      <w:r>
        <w:rPr>
          <w:rFonts w:hint="eastAsia"/>
          <w:bCs/>
          <w:color w:val="000000"/>
        </w:rPr>
        <w:t>Error Detection and Self-correction: Under the CoT framework, the model can self-check each step in the reasoning process, identifying and correcting potential e</w:t>
      </w:r>
      <w:r>
        <w:rPr>
          <w:rFonts w:hint="eastAsia"/>
          <w:bCs/>
          <w:color w:val="000000"/>
        </w:rPr>
        <w:t>rrors or inconsistencies. This means that the model can continuously optimize its reasoning strategy during the prediction process, thereby increasing the accuracy of the answers. In the prediction of biodegradation half-lives, this self-correction mechani</w:t>
      </w:r>
      <w:r>
        <w:rPr>
          <w:rFonts w:hint="eastAsia"/>
          <w:bCs/>
          <w:color w:val="000000"/>
        </w:rPr>
        <w:t>sm is particularly important as the reactivity and stability of chemical substances can vary greatly due to minor structural differences. By continuously checking and adjusting its reasoning process, CoT enables the model to more accurately predict the out</w:t>
      </w:r>
      <w:r>
        <w:rPr>
          <w:rFonts w:hint="eastAsia"/>
          <w:bCs/>
          <w:color w:val="000000"/>
        </w:rPr>
        <w:t>comes of complex chemical reactions.</w:t>
      </w:r>
      <w:r>
        <w:rPr>
          <w:bCs/>
          <w:color w:val="000000"/>
        </w:rPr>
        <w:t xml:space="preserve"> </w:t>
      </w:r>
      <w:r>
        <w:rPr>
          <w:rFonts w:hint="eastAsia"/>
          <w:bCs/>
          <w:color w:val="000000"/>
        </w:rPr>
        <w:t>The Chain of Thought method not only improves the accuracy of the model in handling complex scientific problems but also enhances the interpretability and transparency of the model's predictions, thereby providing a mor</w:t>
      </w:r>
      <w:r>
        <w:rPr>
          <w:rFonts w:hint="eastAsia"/>
          <w:bCs/>
          <w:color w:val="000000"/>
        </w:rPr>
        <w:t>e reliable and in-depth tool in fields like scientific research and data analysis. Through this method, we can better understand and predict complex chemical and biological processes.</w:t>
      </w:r>
      <w:r>
        <w:rPr>
          <w:bCs/>
          <w:color w:val="000000"/>
        </w:rPr>
        <w:t xml:space="preserve"> </w:t>
      </w:r>
    </w:p>
    <w:p w14:paraId="729F1270" w14:textId="77777777" w:rsidR="000F3761" w:rsidRDefault="00AB3A62">
      <w:pPr>
        <w:pStyle w:val="2"/>
        <w:spacing w:line="480" w:lineRule="auto"/>
        <w:ind w:firstLineChars="100" w:firstLine="241"/>
        <w:outlineLvl w:val="0"/>
        <w:rPr>
          <w:rFonts w:ascii="Times New Roman Bold" w:hAnsi="Times New Roman Bold" w:cs="Times New Roman Bold"/>
          <w:b/>
          <w:color w:val="000000"/>
        </w:rPr>
      </w:pPr>
      <w:r>
        <w:rPr>
          <w:rFonts w:ascii="Times New Roman Bold" w:hAnsi="Times New Roman Bold" w:cs="Times New Roman Bold"/>
          <w:b/>
          <w:color w:val="000000"/>
        </w:rPr>
        <w:t xml:space="preserve">Applicability domain. </w:t>
      </w:r>
      <w:r>
        <w:rPr>
          <w:bCs/>
          <w:color w:val="000000"/>
        </w:rPr>
        <w:t>In the current study, we put forth a novel algori</w:t>
      </w:r>
      <w:r>
        <w:rPr>
          <w:bCs/>
          <w:color w:val="000000"/>
        </w:rPr>
        <w:t xml:space="preserve">thm poised to </w:t>
      </w:r>
      <w:r>
        <w:rPr>
          <w:bCs/>
          <w:color w:val="000000"/>
        </w:rPr>
        <w:lastRenderedPageBreak/>
        <w:t>enhance the assessment of chemical similarity. While the Tanimoto index has been the cornerstone in previous research for evaluating such similarity, it is tailored for binary data and may not capture the nuances of continuous variables effec</w:t>
      </w:r>
      <w:r>
        <w:rPr>
          <w:bCs/>
          <w:color w:val="000000"/>
        </w:rPr>
        <w:t xml:space="preserve">tively. Recognizing this limitation, we pivot towards a Euclidean distance-based metric, which promises a more nuanced approach for continuous data in cheminformatics. </w:t>
      </w:r>
    </w:p>
    <w:p w14:paraId="5B933C09" w14:textId="77777777" w:rsidR="000F3761" w:rsidRDefault="00AB3A62">
      <w:pPr>
        <w:pStyle w:val="2"/>
        <w:spacing w:line="480" w:lineRule="auto"/>
        <w:ind w:firstLineChars="100" w:firstLine="240"/>
        <w:outlineLvl w:val="0"/>
        <w:rPr>
          <w:bCs/>
          <w:color w:val="000000"/>
        </w:rPr>
      </w:pPr>
      <w:r>
        <w:rPr>
          <w:bCs/>
          <w:color w:val="000000"/>
        </w:rPr>
        <w:t>Our methodology leverages the Scikit-learn library in Python,</w:t>
      </w:r>
      <w:r>
        <w:rPr>
          <w:bCs/>
          <w:color w:val="000000"/>
        </w:rPr>
        <w:fldChar w:fldCharType="begin"/>
      </w:r>
      <w:r>
        <w:rPr>
          <w:bCs/>
          <w:color w:val="000000"/>
        </w:rPr>
        <w:instrText xml:space="preserve"> ADDIN ZOTERO_ITEM CSL_CIT</w:instrText>
      </w:r>
      <w:r>
        <w:rPr>
          <w:bCs/>
          <w:color w:val="000000"/>
        </w:rPr>
        <w:instrText>ATION {"citationID":"WXW6Teyw","properties":{"formattedCitation":"\\super 16\\nosupersub{}","plainCitation":"16","noteIndex":0},"citationItems":[{"id":61,"uris":["http://zotero.org/users/local/4YXbPDcN/items/TDFV6LIR"],"itemData":{"id":61,"type":"article",</w:instrText>
      </w:r>
      <w:r>
        <w:rPr>
          <w:bCs/>
          <w:color w:val="000000"/>
        </w:rPr>
        <w:instrText>"abstract":"Scikit-learn is a Python module integrating a wide range of state-of-the-art machine learning algorithms for medium-scale supervised and unsupervised problems. This package focuses on bringing machine learning to non-specialists using a general</w:instrText>
      </w:r>
      <w:r>
        <w:rPr>
          <w:bCs/>
          <w:color w:val="000000"/>
        </w:rPr>
        <w:instrText>-purpose high-level language. Emphasis is put on ease of use, performance, documentation, and API consistency. It has minimal dependencies and is distributed under the simplified BSD license, encouraging its use in both academic and commercial settings. So</w:instrText>
      </w:r>
      <w:r>
        <w:rPr>
          <w:bCs/>
          <w:color w:val="000000"/>
        </w:rPr>
        <w:instrText>urce code, binaries, and documentation can be downloaded from http://scikit-learn.org.","note":"arXiv:1201.0490 [cs]","number":"arXiv:1201.0490","publisher":"arXiv","source":"arXiv.org","title":"Scikit-learn: Machine Learning in Python","title-short":"Scik</w:instrText>
      </w:r>
      <w:r>
        <w:rPr>
          <w:bCs/>
          <w:color w:val="000000"/>
        </w:rPr>
        <w:instrText>it-learn","URL":"http://arxiv.org/abs/1201.0490","author":[{"family":"Pedregosa","given":"Fabian"},{"family":"Varoquaux","given":"Gaël"},{"family":"Gramfort","given":"Alexandre"},{"family":"Michel","given":"Vincent"},{"family":"Thirion","given":"Bertrand"}</w:instrText>
      </w:r>
      <w:r>
        <w:rPr>
          <w:bCs/>
          <w:color w:val="000000"/>
        </w:rPr>
        <w:instrText>,{"family":"Grisel","given":"Olivier"},{"family":"Blondel","given":"Mathieu"},{"family":"Müller","given":"Andreas"},{"family":"Nothman","given":"Joel"},{"family":"Louppe","given":"Gilles"},{"family":"Prettenhofer","given":"Peter"},{"family":"Weiss","given"</w:instrText>
      </w:r>
      <w:r>
        <w:rPr>
          <w:bCs/>
          <w:color w:val="000000"/>
        </w:rPr>
        <w:instrText>:"Ron"},{"family":"Dubourg","given":"Vincent"},{"family":"Vanderplas","given":"Jake"},{"family":"Passos","given":"Alexandre"},{"family":"Cournapeau","given":"David"},{"family":"Brucher","given":"Matthieu"},{"family":"Perrot","given":"Matthieu"},{"family":"</w:instrText>
      </w:r>
      <w:r>
        <w:rPr>
          <w:bCs/>
          <w:color w:val="000000"/>
        </w:rPr>
        <w:instrText xml:space="preserve">Duchesnay","given":"Édouard"}],"accessed":{"date-parts":[["2024",2,24]]},"issued":{"date-parts":[["2018",6,5]]}}}],"schema":"https://github.com/citation-style-language/schema/raw/master/csl-citation.json"} </w:instrText>
      </w:r>
      <w:r>
        <w:rPr>
          <w:bCs/>
          <w:color w:val="000000"/>
        </w:rPr>
        <w:fldChar w:fldCharType="separate"/>
      </w:r>
      <w:r>
        <w:rPr>
          <w:kern w:val="0"/>
          <w:szCs w:val="24"/>
          <w:vertAlign w:val="superscript"/>
        </w:rPr>
        <w:t>16</w:t>
      </w:r>
      <w:r>
        <w:rPr>
          <w:bCs/>
          <w:color w:val="000000"/>
        </w:rPr>
        <w:fldChar w:fldCharType="end"/>
      </w:r>
      <w:r>
        <w:rPr>
          <w:bCs/>
          <w:color w:val="000000"/>
        </w:rPr>
        <w:t xml:space="preserve"> transforming chemical structural expressions</w:t>
      </w:r>
      <w:r>
        <w:rPr>
          <w:bCs/>
          <w:color w:val="000000"/>
        </w:rPr>
        <w:t xml:space="preserve"> into feature vectors and then utilizing the `euclidean_distances` function to compute the direct distances between entities in our datasets.</w:t>
      </w:r>
      <w:r>
        <w:rPr>
          <w:bCs/>
          <w:color w:val="000000"/>
        </w:rPr>
        <w:fldChar w:fldCharType="begin"/>
      </w:r>
      <w:r>
        <w:rPr>
          <w:bCs/>
          <w:color w:val="000000"/>
        </w:rPr>
        <w:instrText xml:space="preserve"> ADDIN ZOTERO_ITEM CSL_CITATION {"citationID":"MlJFQzjT","properties":{"unsorted":true,"formattedCitation":"\\super</w:instrText>
      </w:r>
      <w:r>
        <w:rPr>
          <w:bCs/>
          <w:color w:val="000000"/>
        </w:rPr>
        <w:instrText xml:space="preserve"> 17\\nosupersub{}","plainCitation":"17","noteIndex":0},"citationItems":[{"id":59,"uris":["http://zotero.org/users/local/4YXbPDcN/items/Q8U5BWWT"],"itemData":{"id":59,"type":"article-journal","container-title":"SIAM Review","DOI":"10.1137/120875909","ISSN":</w:instrText>
      </w:r>
      <w:r>
        <w:rPr>
          <w:bCs/>
          <w:color w:val="000000"/>
        </w:rPr>
        <w:instrText>"0036-1445, 1095-7200","issue":"1","journalAbbreviation":"SIAM Rev.","language":"en","page":"3-69","source":"DOI.org (Crossref)","title":"Euclidean Distance Geometry and Applications","volume":"56","author":[{"family":"Liberti","given":"Leo"},{"family":"La</w:instrText>
      </w:r>
      <w:r>
        <w:rPr>
          <w:bCs/>
          <w:color w:val="000000"/>
        </w:rPr>
        <w:instrText xml:space="preserve">vor","given":"Carlile"},{"family":"Maculan","given":"Nelson"},{"family":"Mucherino","given":"Antonio"}],"issued":{"date-parts":[["2014",1]]}}}],"schema":"https://github.com/citation-style-language/schema/raw/master/csl-citation.json"} </w:instrText>
      </w:r>
      <w:r>
        <w:rPr>
          <w:bCs/>
          <w:color w:val="000000"/>
        </w:rPr>
        <w:fldChar w:fldCharType="separate"/>
      </w:r>
      <w:r>
        <w:rPr>
          <w:kern w:val="0"/>
          <w:szCs w:val="24"/>
          <w:vertAlign w:val="superscript"/>
        </w:rPr>
        <w:t>17</w:t>
      </w:r>
      <w:r>
        <w:rPr>
          <w:bCs/>
          <w:color w:val="000000"/>
        </w:rPr>
        <w:fldChar w:fldCharType="end"/>
      </w:r>
      <w:r>
        <w:rPr>
          <w:bCs/>
          <w:color w:val="000000"/>
        </w:rPr>
        <w:t xml:space="preserve"> We convert thes</w:t>
      </w:r>
      <w:r>
        <w:rPr>
          <w:bCs/>
          <w:color w:val="000000"/>
        </w:rPr>
        <w:t>e distances into similarity scores using the formula</w:t>
      </w:r>
      <w:r>
        <w:rPr>
          <w:bCs/>
          <w:color w:val="000000"/>
        </w:rPr>
        <w:t>(4)</w:t>
      </w:r>
      <w:r>
        <w:rPr>
          <w:position w:val="-24"/>
        </w:rPr>
        <w:object w:dxaOrig="1257" w:dyaOrig="623" w14:anchorId="25CE1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1.15pt" o:ole="">
            <v:imagedata r:id="rId9" o:title=""/>
          </v:shape>
          <o:OLEObject Type="Embed" ProgID="Equation.DSMT4" ShapeID="_x0000_i1025" DrawAspect="Content" ObjectID="_1783596895" r:id="rId10"/>
        </w:object>
      </w:r>
      <w:r>
        <w:t>,</w:t>
      </w:r>
      <w:r>
        <w:rPr>
          <w:bCs/>
          <w:color w:val="000000"/>
        </w:rPr>
        <w:t xml:space="preserve"> yielding a score where values approaching 1 imply greater similarity.</w:t>
      </w:r>
    </w:p>
    <w:p w14:paraId="3A730E18" w14:textId="77777777" w:rsidR="000F3761" w:rsidRDefault="00AB3A62">
      <w:pPr>
        <w:pStyle w:val="2"/>
        <w:spacing w:line="480" w:lineRule="auto"/>
        <w:ind w:firstLineChars="100" w:firstLine="240"/>
        <w:outlineLvl w:val="0"/>
        <w:rPr>
          <w:bCs/>
          <w:color w:val="000000"/>
        </w:rPr>
      </w:pPr>
      <w:r>
        <w:rPr>
          <w:bCs/>
          <w:color w:val="000000"/>
        </w:rPr>
        <w:t>To fine-tune our model's accuracy, we adopt a detailed approach towards adjusting the similarity thresh</w:t>
      </w:r>
      <w:r>
        <w:rPr>
          <w:bCs/>
          <w:color w:val="000000"/>
        </w:rPr>
        <w:t>old. Starting at 0.5 and increasing in increments of 0.05, we not only monitor the RMSE of the test set at each threshold but also employ a nuanced validation method. For each threshold, we identify the most similar sample in the training set for each test</w:t>
      </w:r>
      <w:r>
        <w:rPr>
          <w:bCs/>
          <w:color w:val="000000"/>
        </w:rPr>
        <w:t xml:space="preserve"> sample—that is, the training sample that has the highest similarity score above the current threshold with the test sample. If a test sample's maximum similarity with any training sample falls below the current threshold, that test sample is excluded from</w:t>
      </w:r>
      <w:r>
        <w:rPr>
          <w:bCs/>
          <w:color w:val="000000"/>
        </w:rPr>
        <w:t xml:space="preserve"> further analysis. Consequently, we calculate the RMSE only for the remaining test samples, those which have a counterpart in the training set that meets the threshold criteria. This process ensures that our evaluation of RMSE is grounded on test samples t</w:t>
      </w:r>
      <w:r>
        <w:rPr>
          <w:bCs/>
          <w:color w:val="000000"/>
        </w:rPr>
        <w:t xml:space="preserve">hat the model is most likely to predict accurately, thereby providing a more precise measure of our model's performance. </w:t>
      </w:r>
    </w:p>
    <w:p w14:paraId="6AF08CFA" w14:textId="77777777" w:rsidR="000F3761" w:rsidRDefault="00AB3A62">
      <w:pPr>
        <w:pStyle w:val="2"/>
        <w:spacing w:line="480" w:lineRule="auto"/>
        <w:ind w:firstLineChars="100" w:firstLine="240"/>
        <w:outlineLvl w:val="0"/>
        <w:rPr>
          <w:bCs/>
          <w:color w:val="000000"/>
        </w:rPr>
      </w:pPr>
      <w:r>
        <w:rPr>
          <w:bCs/>
          <w:color w:val="000000"/>
        </w:rPr>
        <w:lastRenderedPageBreak/>
        <w:t>The proposed Euclidean-based approach, therefore, stands as a robust alternative to the traditional Tanimoto index,</w:t>
      </w:r>
      <w:r>
        <w:rPr>
          <w:bCs/>
          <w:color w:val="000000"/>
        </w:rPr>
        <w:fldChar w:fldCharType="begin"/>
      </w:r>
      <w:r>
        <w:rPr>
          <w:bCs/>
          <w:color w:val="000000"/>
        </w:rPr>
        <w:instrText xml:space="preserve"> ADDIN ZOTERO_ITEM </w:instrText>
      </w:r>
      <w:r>
        <w:rPr>
          <w:bCs/>
          <w:color w:val="000000"/>
        </w:rPr>
        <w:instrText>CSL_CITATION {"citationID":"Dzy0kVtP","properties":{"formattedCitation":"\\super 18\\nosupersub{}","plainCitation":"18","noteIndex":0},"citationItems":[{"id":65,"uris":["http://zotero.org/users/local/4YXbPDcN/items/2I5ZJAUL"],"itemData":{"id":65,"type":"ar</w:instrText>
      </w:r>
      <w:r>
        <w:rPr>
          <w:bCs/>
          <w:color w:val="000000"/>
        </w:rPr>
        <w:instrText xml:space="preserve">ticle-journal","abstract":"Abstract\n            \n              Background\n              Cheminformaticians are equipped with a very rich toolbox when carrying out molecular similarity calculations. A large number of molecular representations exist, and </w:instrText>
      </w:r>
      <w:r>
        <w:rPr>
          <w:bCs/>
          <w:color w:val="000000"/>
        </w:rPr>
        <w:instrText>there are several methods (similarity and distance metrics) to quantify the similarity of molecular representations. In this work, eight well-known similarity/distance metrics are compared on a large dataset of molecular fingerprints with sum of ranking di</w:instrText>
      </w:r>
      <w:r>
        <w:rPr>
          <w:bCs/>
          <w:color w:val="000000"/>
        </w:rPr>
        <w:instrText>fferences (SRD) and ANOVA analysis. The effects of molecular size, selection methods and data pretreatment methods on the outcome of the comparison are also assessed.\n            \n            \n              Results\n              \n                A sup</w:instrText>
      </w:r>
      <w:r>
        <w:rPr>
          <w:bCs/>
          <w:color w:val="000000"/>
        </w:rPr>
        <w:instrText>plier database (\n                https://mcule.com/\n                ) was used as the source of compounds for the similarity calculations in this study. A large number of datasets, each consisting of one hundred compounds, were compiled, molecular finger</w:instrText>
      </w:r>
      <w:r>
        <w:rPr>
          <w:bCs/>
          <w:color w:val="000000"/>
        </w:rPr>
        <w:instrText>prints were generated and similarity values between a randomly chosen reference compound and the rest were calculated for each dataset. Similarity metrics were compared based on their ranking of the compounds within one experiment (one dataset) using sum o</w:instrText>
      </w:r>
      <w:r>
        <w:rPr>
          <w:bCs/>
          <w:color w:val="000000"/>
        </w:rPr>
        <w:instrText xml:space="preserve">f ranking differences (SRD), while the results of the entire set of experiments were summarized on box and whisker plots. Finally, the effects of various factors (data pretreatment, molecule size, selection method) were evaluated with analysis of variance </w:instrText>
      </w:r>
      <w:r>
        <w:rPr>
          <w:bCs/>
          <w:color w:val="000000"/>
        </w:rPr>
        <w:instrText>(ANOVA).\n              \n            \n            \n              Conclusions\n              \n                This study complements previous efforts to examine and rank various metrics for molecular similarity calculations. Here, however, an entirely g</w:instrText>
      </w:r>
      <w:r>
        <w:rPr>
          <w:bCs/>
          <w:color w:val="000000"/>
        </w:rPr>
        <w:instrText>eneral approach was taken to neglect any\n                a priori\n                knowledge on the compounds involved, as well as any bias introduced by examining only one or a few specific scenarios. The Tanimoto index, Dice index, Cosine coefficient an</w:instrText>
      </w:r>
      <w:r>
        <w:rPr>
          <w:bCs/>
          <w:color w:val="000000"/>
        </w:rPr>
        <w:instrText>d Soergel distance were identified to be the best (and in some sense equivalent) metrics for similarity calculations,\n                i.e\n                . these metrics could produce the rankings closest to the composite (average) ranking of the eight m</w:instrText>
      </w:r>
      <w:r>
        <w:rPr>
          <w:bCs/>
          <w:color w:val="000000"/>
        </w:rPr>
        <w:instrText xml:space="preserve">etrics. The similarity metrics derived from Euclidean and Manhattan distances are not recommended on their own, although their variability and diversity from other similarity metrics might be advantageous in certain cases (\n                e.g.\n         </w:instrText>
      </w:r>
      <w:r>
        <w:rPr>
          <w:bCs/>
          <w:color w:val="000000"/>
        </w:rPr>
        <w:instrText xml:space="preserve">       for data fusion). Conclusions are also drawn regarding the effects of molecule size, selection method and data pretreatment on the ranking behavior of the studied metrics.","container-title":"Journal of Cheminformatics","DOI":"10.1186/s13321-015-006</w:instrText>
      </w:r>
      <w:r>
        <w:rPr>
          <w:bCs/>
          <w:color w:val="000000"/>
        </w:rPr>
        <w:instrText>9-3","ISSN":"1758-2946","issue":"1","journalAbbreviation":"J Cheminform","language":"en","page":"20","source":"DOI.org (Crossref)","title":"Why is Tanimoto index an appropriate choice for fingerprint-based similarity calculations?","volume":"7","author":[{</w:instrText>
      </w:r>
      <w:r>
        <w:rPr>
          <w:bCs/>
          <w:color w:val="000000"/>
        </w:rPr>
        <w:instrText xml:space="preserve">"family":"Bajusz","given":"Dávid"},{"family":"Rácz","given":"Anita"},{"family":"Héberger","given":"Károly"}],"issued":{"date-parts":[["2015",12]]}}}],"schema":"https://github.com/citation-style-language/schema/raw/master/csl-citation.json"} </w:instrText>
      </w:r>
      <w:r>
        <w:rPr>
          <w:bCs/>
          <w:color w:val="000000"/>
        </w:rPr>
        <w:fldChar w:fldCharType="separate"/>
      </w:r>
      <w:r>
        <w:rPr>
          <w:kern w:val="0"/>
          <w:szCs w:val="24"/>
          <w:vertAlign w:val="superscript"/>
        </w:rPr>
        <w:t>18</w:t>
      </w:r>
      <w:r>
        <w:rPr>
          <w:bCs/>
          <w:color w:val="000000"/>
        </w:rPr>
        <w:fldChar w:fldCharType="end"/>
      </w:r>
      <w:r>
        <w:rPr>
          <w:bCs/>
          <w:color w:val="000000"/>
        </w:rPr>
        <w:t xml:space="preserve"> especiall</w:t>
      </w:r>
      <w:r>
        <w:rPr>
          <w:bCs/>
          <w:color w:val="000000"/>
        </w:rPr>
        <w:t>y in applications requiring precise similarity measures, such as drug discovery, chemical categorization, and toxicology studies. This iterative thresholding and validation method fine-tunes our model to achieve an optimal balance between predictive accura</w:t>
      </w:r>
      <w:r>
        <w:rPr>
          <w:bCs/>
          <w:color w:val="000000"/>
        </w:rPr>
        <w:t>cy and model reliability, marking a significant advancement in the field of cheminformatics.</w:t>
      </w:r>
    </w:p>
    <w:p w14:paraId="295D3FFE" w14:textId="77777777" w:rsidR="000F3761" w:rsidRDefault="00AB3A62">
      <w:pPr>
        <w:pStyle w:val="2"/>
        <w:spacing w:line="480" w:lineRule="auto"/>
        <w:ind w:firstLineChars="0" w:firstLine="0"/>
        <w:outlineLvl w:val="0"/>
        <w:rPr>
          <w:b/>
          <w:color w:val="000000"/>
        </w:rPr>
      </w:pPr>
      <w:r>
        <w:rPr>
          <w:b/>
          <w:color w:val="000000"/>
          <w:kern w:val="0"/>
          <w:szCs w:val="24"/>
        </w:rPr>
        <w:t>RESULTS AND DISCUSSION</w:t>
      </w:r>
    </w:p>
    <w:p w14:paraId="796CBFC6" w14:textId="77777777" w:rsidR="000F3761" w:rsidRDefault="00AB3A62">
      <w:pPr>
        <w:pStyle w:val="2"/>
        <w:spacing w:line="480" w:lineRule="auto"/>
        <w:ind w:firstLineChars="100" w:firstLine="241"/>
        <w:outlineLvl w:val="0"/>
        <w:rPr>
          <w:rFonts w:ascii="Times New Roman Regular" w:hAnsi="Times New Roman Regular" w:cs="Times New Roman Regular"/>
          <w:bCs/>
          <w:color w:val="000000"/>
        </w:rPr>
      </w:pPr>
      <w:r>
        <w:rPr>
          <w:rFonts w:hint="eastAsia"/>
          <w:b/>
          <w:color w:val="000000"/>
        </w:rPr>
        <w:t>Seven-Fold Cross-Validation Results for the Llama 2-13B-chat Model</w:t>
      </w:r>
      <w:r>
        <w:rPr>
          <w:b/>
          <w:color w:val="000000"/>
        </w:rPr>
        <w:t xml:space="preserve">. </w:t>
      </w:r>
      <w:r>
        <w:rPr>
          <w:rFonts w:hint="eastAsia"/>
          <w:b/>
          <w:color w:val="000000"/>
        </w:rPr>
        <w:t xml:space="preserve">Table 1 </w:t>
      </w:r>
      <w:r>
        <w:rPr>
          <w:rFonts w:ascii="Times New Roman Regular" w:hAnsi="Times New Roman Regular" w:cs="Times New Roman Regular" w:hint="eastAsia"/>
          <w:bCs/>
          <w:color w:val="000000" w:themeColor="text1"/>
        </w:rPr>
        <w:t>show</w:t>
      </w:r>
      <w:r>
        <w:rPr>
          <w:rFonts w:ascii="Times New Roman Regular" w:hAnsi="Times New Roman Regular" w:cs="Times New Roman Regular"/>
          <w:bCs/>
          <w:color w:val="000000" w:themeColor="text1"/>
        </w:rPr>
        <w:t>s</w:t>
      </w:r>
      <w:r>
        <w:rPr>
          <w:rFonts w:ascii="Times New Roman Regular" w:hAnsi="Times New Roman Regular" w:cs="Times New Roman Regular"/>
          <w:bCs/>
          <w:color w:val="000000"/>
        </w:rPr>
        <w:t xml:space="preserve"> the results of a seven-fold cross-validation of the Llama 2-13B-chat model’s predictive performance on datasets from seven different groups.</w:t>
      </w:r>
      <w:r>
        <w:rPr>
          <w:rFonts w:ascii="Times New Roman Regular" w:hAnsi="Times New Roman Regular" w:cs="Times New Roman Regular"/>
          <w:bCs/>
          <w:color w:val="000000"/>
        </w:rPr>
        <w:fldChar w:fldCharType="begin"/>
      </w:r>
      <w:r>
        <w:rPr>
          <w:rFonts w:ascii="Times New Roman Regular" w:hAnsi="Times New Roman Regular" w:cs="Times New Roman Regular"/>
          <w:bCs/>
          <w:color w:val="000000"/>
        </w:rPr>
        <w:instrText xml:space="preserve"> ADDIN ZOTERO_ITEM CSL_CITATION {"citationID":"UJVSo6xg","properties":{"formattedCitation":"\\super 15\\nosupersub{</w:instrText>
      </w:r>
      <w:r>
        <w:rPr>
          <w:rFonts w:ascii="Times New Roman Regular" w:hAnsi="Times New Roman Regular" w:cs="Times New Roman Regular"/>
          <w:bCs/>
          <w:color w:val="000000"/>
        </w:rPr>
        <w:instrText>}","plainCitation":"15","noteIndex":0},"citationItems":[{"id":10,"uris":["http://zotero.org/users/local/4YXbPDcN/items/GJQR97WW"],"itemData":{"id":10,"type":"article","abstract":"The correct use of model evaluation, model selection, and algorithm selection</w:instrText>
      </w:r>
      <w:r>
        <w:rPr>
          <w:rFonts w:ascii="Times New Roman Regular" w:hAnsi="Times New Roman Regular" w:cs="Times New Roman Regular"/>
          <w:bCs/>
          <w:color w:val="000000"/>
        </w:rPr>
        <w:instrText xml:space="preserve"> techniques is vital in academic machine learning research as well as in many industrial settings. This article reviews different techniques that can be used for each of these three subtasks and discusses the main advantages and disadvantages of each techn</w:instrText>
      </w:r>
      <w:r>
        <w:rPr>
          <w:rFonts w:ascii="Times New Roman Regular" w:hAnsi="Times New Roman Regular" w:cs="Times New Roman Regular"/>
          <w:bCs/>
          <w:color w:val="000000"/>
        </w:rPr>
        <w:instrText>ique with references to theoretical and empirical studies. Further, recommendations are given to encourage best yet feasible practices in research and applications of machine learning. Common methods such as the holdout method for model evaluation and sele</w:instrText>
      </w:r>
      <w:r>
        <w:rPr>
          <w:rFonts w:ascii="Times New Roman Regular" w:hAnsi="Times New Roman Regular" w:cs="Times New Roman Regular"/>
          <w:bCs/>
          <w:color w:val="000000"/>
        </w:rPr>
        <w:instrText>ction are covered, which are not recommended when working with small datasets. Different ﬂavors of the bootstrap technique are introduced for estimating the uncertainty of performance estimates, as an alternative to conﬁdence intervals via normal approxima</w:instrText>
      </w:r>
      <w:r>
        <w:rPr>
          <w:rFonts w:ascii="Times New Roman Regular" w:hAnsi="Times New Roman Regular" w:cs="Times New Roman Regular"/>
          <w:bCs/>
          <w:color w:val="000000"/>
        </w:rPr>
        <w:instrText>tion if bootstrapping is computationally feasible. Common cross-validation techniques such as leave-oneout cross-validation and k-fold cross-validation are reviewed, the bias-variance trade-off for choosing k is discussed, and practical tips for the optima</w:instrText>
      </w:r>
      <w:r>
        <w:rPr>
          <w:rFonts w:ascii="Times New Roman Regular" w:hAnsi="Times New Roman Regular" w:cs="Times New Roman Regular"/>
          <w:bCs/>
          <w:color w:val="000000"/>
        </w:rPr>
        <w:instrText>l choice of k are given based on empirical evidence. Different statistical tests for algorithm comparisons are presented, and strategies for dealing with multiple comparisons such as omnibus tests and multiple-comparison corrections are discussed. Finally,</w:instrText>
      </w:r>
      <w:r>
        <w:rPr>
          <w:rFonts w:ascii="Times New Roman Regular" w:hAnsi="Times New Roman Regular" w:cs="Times New Roman Regular"/>
          <w:bCs/>
          <w:color w:val="000000"/>
        </w:rPr>
        <w:instrText xml:space="preserve"> alternative methods for algorithm selection, such as the combined F -test 5x2 crossvalidation and nested cross-validation, are recommended for comparing machine learning algorithms when datasets are small.","language":"en","note":"arXiv:1811.12808 [cs, st</w:instrText>
      </w:r>
      <w:r>
        <w:rPr>
          <w:rFonts w:ascii="Times New Roman Regular" w:hAnsi="Times New Roman Regular" w:cs="Times New Roman Regular"/>
          <w:bCs/>
          <w:color w:val="000000"/>
        </w:rPr>
        <w:instrText>at]","number":"arXiv:1811.12808","publisher":"arXiv","source":"arXiv.org","title":"Model Evaluation, Model Selection, and Algorithm Selection in Machine Learning","URL":"http://arxiv.org/abs/1811.12808","author":[{"family":"Raschka","given":"Sebastian"}],"</w:instrText>
      </w:r>
      <w:r>
        <w:rPr>
          <w:rFonts w:ascii="Times New Roman Regular" w:hAnsi="Times New Roman Regular" w:cs="Times New Roman Regular"/>
          <w:bCs/>
          <w:color w:val="000000"/>
        </w:rPr>
        <w:instrText xml:space="preserve">accessed":{"date-parts":[["2024",2,23]]},"issued":{"date-parts":[["2020",11,10]]}}}],"schema":"https://github.com/citation-style-language/schema/raw/master/csl-citation.json"} </w:instrText>
      </w:r>
      <w:r>
        <w:rPr>
          <w:rFonts w:ascii="Times New Roman Regular" w:hAnsi="Times New Roman Regular" w:cs="Times New Roman Regular"/>
          <w:bCs/>
          <w:color w:val="000000"/>
        </w:rPr>
        <w:fldChar w:fldCharType="separate"/>
      </w:r>
      <w:r>
        <w:rPr>
          <w:rFonts w:ascii="Times New Roman Regular" w:hAnsi="Times New Roman Regular" w:cs="Times New Roman Regular"/>
          <w:kern w:val="0"/>
          <w:szCs w:val="24"/>
          <w:vertAlign w:val="superscript"/>
        </w:rPr>
        <w:t>15</w:t>
      </w:r>
      <w:r>
        <w:rPr>
          <w:rFonts w:ascii="Times New Roman Regular" w:hAnsi="Times New Roman Regular" w:cs="Times New Roman Regular"/>
          <w:bCs/>
          <w:color w:val="000000"/>
        </w:rPr>
        <w:fldChar w:fldCharType="end"/>
      </w:r>
      <w:r>
        <w:rPr>
          <w:rFonts w:ascii="Times New Roman Regular" w:hAnsi="Times New Roman Regular" w:cs="Times New Roman Regular"/>
          <w:bCs/>
          <w:color w:val="000000"/>
        </w:rPr>
        <w:t xml:space="preserve"> It enumerates the Root Mean Square Error (RMSE), Mean Absolute Error (MAE)</w:t>
      </w:r>
      <w:r>
        <w:rPr>
          <w:rFonts w:ascii="Times New Roman Regular" w:hAnsi="Times New Roman Regular" w:cs="Times New Roman Regular"/>
          <w:bCs/>
          <w:color w:val="000000"/>
        </w:rPr>
        <w:t xml:space="preserve">, and the coefficient of determination (R²) for each group during both training and testing phases. During the training phase, the models exhibit substantial predictive accuracy, reflected by consistent RMSE and MAE values across the folds. In the testing </w:t>
      </w:r>
      <w:r>
        <w:rPr>
          <w:rFonts w:ascii="Times New Roman Regular" w:hAnsi="Times New Roman Regular" w:cs="Times New Roman Regular"/>
          <w:bCs/>
          <w:color w:val="000000"/>
        </w:rPr>
        <w:t>phase, there is a notable decrease in performance; however, the model corresponding to Group 7 (R-7) maintains lower RMSE and MAE, alongside a higher R², suggesting a robust generalizability. This comprehensive cross-validation approach underscores the rel</w:t>
      </w:r>
      <w:r>
        <w:rPr>
          <w:rFonts w:ascii="Times New Roman Regular" w:hAnsi="Times New Roman Regular" w:cs="Times New Roman Regular"/>
          <w:bCs/>
          <w:color w:val="000000"/>
        </w:rPr>
        <w:t>iability of the Llama 2-13B-chat model and informs potential enhancements for its application on diverse chemical datasets.</w:t>
      </w:r>
    </w:p>
    <w:p w14:paraId="5C05FA3A" w14:textId="77777777" w:rsidR="000F3761" w:rsidRDefault="00AB3A62">
      <w:pPr>
        <w:pStyle w:val="2"/>
        <w:spacing w:line="480" w:lineRule="auto"/>
        <w:ind w:firstLineChars="100" w:firstLine="241"/>
        <w:outlineLvl w:val="0"/>
        <w:rPr>
          <w:bCs/>
          <w:color w:val="000000"/>
        </w:rPr>
      </w:pPr>
      <w:r>
        <w:rPr>
          <w:rFonts w:ascii="Times New Roman Bold" w:hAnsi="Times New Roman Bold" w:cs="Times New Roman Bold"/>
          <w:b/>
          <w:color w:val="000000"/>
        </w:rPr>
        <w:t>Comparison of Fine-tuning the LLAMA Model and Traditional Machine Learning Models Based on Molecular Descriptors at Different Data V</w:t>
      </w:r>
      <w:r>
        <w:rPr>
          <w:rFonts w:ascii="Times New Roman Bold" w:hAnsi="Times New Roman Bold" w:cs="Times New Roman Bold"/>
          <w:b/>
          <w:color w:val="000000"/>
        </w:rPr>
        <w:t>olumes.</w:t>
      </w:r>
      <w:r>
        <w:rPr>
          <w:rFonts w:ascii="Times New Roman Bold" w:hAnsi="Times New Roman Bold" w:cs="Times New Roman Bold" w:hint="eastAsia"/>
          <w:b/>
          <w:color w:val="000000"/>
        </w:rPr>
        <w:t xml:space="preserve">  </w:t>
      </w:r>
      <w:r>
        <w:rPr>
          <w:rFonts w:hint="eastAsia"/>
          <w:bCs/>
          <w:color w:val="000000"/>
        </w:rPr>
        <w:t xml:space="preserve">In the field of environmental science, acquiring high-quality data is often constrained by </w:t>
      </w:r>
      <w:r>
        <w:rPr>
          <w:rFonts w:hint="eastAsia"/>
          <w:bCs/>
          <w:color w:val="000000"/>
        </w:rPr>
        <w:lastRenderedPageBreak/>
        <w:t xml:space="preserve">factors such as sampling difficulties, cost, and time, making data-driven model training particularly challenging. In this context, our research aims to </w:t>
      </w:r>
      <w:r>
        <w:rPr>
          <w:rFonts w:hint="eastAsia"/>
          <w:bCs/>
          <w:color w:val="000000"/>
        </w:rPr>
        <w:t>evaluate and compare the performance of different computational models under data-limited conditions, especially considering the scarcity and value of data in the environmental domain. We conducted a series of experiments using the LLAMA model and traditio</w:t>
      </w:r>
      <w:r>
        <w:rPr>
          <w:rFonts w:hint="eastAsia"/>
          <w:bCs/>
          <w:color w:val="000000"/>
        </w:rPr>
        <w:t>nal machine learning algorithms based on RDKit, including XGBoost</w:t>
      </w:r>
      <w:r>
        <w:rPr>
          <w:bCs/>
          <w:color w:val="000000"/>
        </w:rPr>
        <w:t>, LightGBM, G</w:t>
      </w:r>
      <w:r>
        <w:rPr>
          <w:rFonts w:hint="eastAsia"/>
          <w:bCs/>
          <w:color w:val="000000"/>
        </w:rPr>
        <w:t>radient</w:t>
      </w:r>
      <w:r>
        <w:rPr>
          <w:bCs/>
          <w:color w:val="000000"/>
        </w:rPr>
        <w:t>B</w:t>
      </w:r>
      <w:r>
        <w:rPr>
          <w:rFonts w:hint="eastAsia"/>
          <w:bCs/>
          <w:color w:val="000000"/>
        </w:rPr>
        <w:t>oost and CatBoost.</w:t>
      </w:r>
      <w:r>
        <w:rPr>
          <w:bCs/>
          <w:color w:val="000000"/>
        </w:rPr>
        <w:fldChar w:fldCharType="begin"/>
      </w:r>
      <w:r>
        <w:rPr>
          <w:bCs/>
          <w:color w:val="000000"/>
        </w:rPr>
        <w:instrText xml:space="preserve"> ADDIN ZOTERO_ITEM CSL_CITATION {"citationID":"BavU0FrQ","properties":{"formattedCitation":"\\super 19\\uc0\\u8211{}22\\nosupersub{}","plainCitation":"1</w:instrText>
      </w:r>
      <w:r>
        <w:rPr>
          <w:bCs/>
          <w:color w:val="000000"/>
        </w:rPr>
        <w:instrText>9–22","noteIndex":0},"citationItems":[{"id":69,"uris":["http://zotero.org/users/local/4YXbPDcN/items/WNRH86J8"],"itemData":{"id":69,"type":"paper-conference","abstract":"Tree boosting is a highly effective and widely used machine learning method. In this p</w:instrText>
      </w:r>
      <w:r>
        <w:rPr>
          <w:bCs/>
          <w:color w:val="000000"/>
        </w:rPr>
        <w:instrText>aper, we describe a scalable end-to-end tree boosting system called XGBoost, which is used widely by data scientists to achieve state-of-the-art results on many machine learning challenges. We propose a novel sparsity-aware algorithm for sparse data and we</w:instrText>
      </w:r>
      <w:r>
        <w:rPr>
          <w:bCs/>
          <w:color w:val="000000"/>
        </w:rPr>
        <w:instrText>ighted quantile sketch for approximate tree learning. More importantly, we provide insights on cache access patterns, data compression and sharding to build a scalable tree boosting system. By combining these insights, XGBoost scales beyond billions of exa</w:instrText>
      </w:r>
      <w:r>
        <w:rPr>
          <w:bCs/>
          <w:color w:val="000000"/>
        </w:rPr>
        <w:instrText>mples using far fewer resources than existing systems.","collection-title":"KDD '16","container-title":"Proceedings of the 22nd ACM SIGKDD International Conference on Knowledge Discovery and Data Mining","DOI":"10.1145/2939672.2939785","event-place":"New Y</w:instrText>
      </w:r>
      <w:r>
        <w:rPr>
          <w:bCs/>
          <w:color w:val="000000"/>
        </w:rPr>
        <w:instrText>ork, NY, USA","ISBN":"978-1-4503-4232-2","page":"785–794","publisher":"Association for Computing Machinery","publisher-place":"New York, NY, USA","source":"ACM Digital Library","title":"XGBoost: A Scalable Tree Boosting System","title-short":"XGBoost","URL</w:instrText>
      </w:r>
      <w:r>
        <w:rPr>
          <w:bCs/>
          <w:color w:val="000000"/>
        </w:rPr>
        <w:instrText>":"https://dl.acm.org/doi/10.1145/2939672.2939785","author":[{"family":"Chen","given":"Tianqi"},{"family":"Guestrin","given":"Carlos"}],"accessed":{"date-parts":[["2024",2,23]]},"issued":{"date-parts":[["2016",8,13]]}},"label":"page"},{"id":77,"uris":["htt</w:instrText>
      </w:r>
      <w:r>
        <w:rPr>
          <w:bCs/>
          <w:color w:val="000000"/>
        </w:rPr>
        <w:instrText>p://zotero.org/users/local/4YXbPDcN/items/K42AZ9BV"],"itemData":{"id":77,"type":"paper-conference","abstract":"Gradient Boosting Decision Tree (GBDT) is a popular machine learning algorithm, and has quite a few effective implementations such as XGBoost and</w:instrText>
      </w:r>
      <w:r>
        <w:rPr>
          <w:bCs/>
          <w:color w:val="000000"/>
        </w:rPr>
        <w:instrText xml:space="preserve"> pGBRT. Although many engineering optimizations have been adopted in these implementations, the efficiency and scalability are still unsatisfactory when the feature dimension is high and data size is large. A major reason is that for each feature, they nee</w:instrText>
      </w:r>
      <w:r>
        <w:rPr>
          <w:bCs/>
          <w:color w:val="000000"/>
        </w:rPr>
        <w:instrText>d to scan all the data instances to estimate the information gain of all possible split points, which is very time consuming. To tackle this problem, we propose two novel techniques: \\emph{Gradient-based One-Side Sampling} (GOSS) and \\emph{Exclusive Feat</w:instrText>
      </w:r>
      <w:r>
        <w:rPr>
          <w:bCs/>
          <w:color w:val="000000"/>
        </w:rPr>
        <w:instrText xml:space="preserve">ure Bundling} (EFB). With GOSS, we exclude a significant proportion of data instances with small gradients, and only use the rest to estimate the information gain. We prove that, since the data instances with larger gradients play a more important role in </w:instrText>
      </w:r>
      <w:r>
        <w:rPr>
          <w:bCs/>
          <w:color w:val="000000"/>
        </w:rPr>
        <w:instrText>the computation of information gain, GOSS can obtain quite accurate estimation of the information gain with a much smaller data size. With EFB, we bundle mutually exclusive features (i.e., they rarely take nonzero values simultaneously), to reduce the numb</w:instrText>
      </w:r>
      <w:r>
        <w:rPr>
          <w:bCs/>
          <w:color w:val="000000"/>
        </w:rPr>
        <w:instrText>er of features. We prove that finding the optimal bundling of exclusive features is NP-hard, but a greedy algorithm can achieve quite good approximation ratio (and thus can effectively reduce the number of features without hurting the accuracy of split poi</w:instrText>
      </w:r>
      <w:r>
        <w:rPr>
          <w:bCs/>
          <w:color w:val="000000"/>
        </w:rPr>
        <w:instrText>nt determination by much). We call our new GBDT implementation with GOSS and EFB \\emph{LightGBM}. Our experiments on multiple public datasets show that, LightGBM speeds up the training process of conventional GBDT by up to over 20 times while achieving al</w:instrText>
      </w:r>
      <w:r>
        <w:rPr>
          <w:bCs/>
          <w:color w:val="000000"/>
        </w:rPr>
        <w:instrText>most the same accuracy.","container-title":"Advances in Neural Information Processing Systems","publisher":"Curran Associates, Inc.","source":"Neural Information Processing Systems","title":"LightGBM: A Highly Efficient Gradient Boosting Decision Tree","ti</w:instrText>
      </w:r>
      <w:r>
        <w:rPr>
          <w:bCs/>
          <w:color w:val="000000"/>
        </w:rPr>
        <w:instrText>tle-short":"LightGBM","URL":"https://proceedings.neurips.cc/paper/2017/hash/6449f44a102fde848669bdd9eb6b76fa-Abstract.html","volume":"30","author":[{"family":"Ke","given":"Guolin"},{"family":"Meng","given":"Qi"},{"family":"Finley","given":"Thomas"},{"famil</w:instrText>
      </w:r>
      <w:r>
        <w:rPr>
          <w:bCs/>
          <w:color w:val="000000"/>
        </w:rPr>
        <w:instrText>y":"Wang","given":"Taifeng"},{"family":"Chen","given":"Wei"},{"family":"Ma","given":"Weidong"},{"family":"Ye","given":"Qiwei"},{"family":"Liu","given":"Tie-Yan"}],"accessed":{"date-parts":[["2024",2,24]]},"issued":{"date-parts":[["2017"]]}},"label":"page"}</w:instrText>
      </w:r>
      <w:r>
        <w:rPr>
          <w:bCs/>
          <w:color w:val="000000"/>
        </w:rPr>
        <w:instrText>,{"id":73,"uris":["http://zotero.org/users/local/4YXbPDcN/items/UM5SZVLG"],"itemData":{"id":73,"type":"article-journal","container-title":"Frontiers in Neurorobotics","DOI":"10.3389/fnbot.2013.00021","ISSN":"1662-5218","journalAbbreviation":"Front. Neuroro</w:instrText>
      </w:r>
      <w:r>
        <w:rPr>
          <w:bCs/>
          <w:color w:val="000000"/>
        </w:rPr>
        <w:instrText>bot.","source":"DOI.org (Crossref)","title":"Gradient boosting machines, a tutorial","URL":"http://journal.frontiersin.org/article/10.3389/fnbot.2013.00021/abstract","volume":"7","author":[{"family":"Natekin","given":"Alexey"},{"family":"Knoll","given":"Al</w:instrText>
      </w:r>
      <w:r>
        <w:rPr>
          <w:bCs/>
          <w:color w:val="000000"/>
        </w:rPr>
        <w:instrText>ois"}],"accessed":{"date-parts":[["2024",2,24]]},"issued":{"date-parts":[["2013"]]}},"label":"page"},{"id":75,"uris":["http://zotero.org/users/local/4YXbPDcN/items/UD8TVDYF"],"itemData":{"id":75,"type":"paper-conference","abstract":"This paper presents the</w:instrText>
      </w:r>
      <w:r>
        <w:rPr>
          <w:bCs/>
          <w:color w:val="000000"/>
        </w:rPr>
        <w:instrText xml:space="preserve"> key algorithmic techniques behind CatBoost, a new gradient boosting toolkit. Their combination leads to CatBoost outperforming other publicly available boosting implementations in terms of quality on a variety of datasets. Two critical algorithmic advance</w:instrText>
      </w:r>
      <w:r>
        <w:rPr>
          <w:bCs/>
          <w:color w:val="000000"/>
        </w:rPr>
        <w:instrText>s introduced in CatBoost are the implementation of ordered boosting, a permutation-driven alternative to the classic algorithm, and an innovative algorithm for processing categorical features. Both techniques were created to fight a prediction shift caused</w:instrText>
      </w:r>
      <w:r>
        <w:rPr>
          <w:bCs/>
          <w:color w:val="000000"/>
        </w:rPr>
        <w:instrText xml:space="preserve"> by a special kind of target leakage present in all currently existing implementations of gradient boosting algorithms. In this paper, we provide a detailed analysis of this problem and demonstrate that proposed algorithms solve it effectively, leading to </w:instrText>
      </w:r>
      <w:r>
        <w:rPr>
          <w:bCs/>
          <w:color w:val="000000"/>
        </w:rPr>
        <w:instrText>excellent empirical results.","container-title":"Advances in Neural Information Processing Systems","publisher":"Curran Associates, Inc.","source":"Neural Information Processing Systems","title":"CatBoost: unbiased boosting with categorical features","titl</w:instrText>
      </w:r>
      <w:r>
        <w:rPr>
          <w:bCs/>
          <w:color w:val="000000"/>
        </w:rPr>
        <w:instrText>e-short":"CatBoost","URL":"https://proceedings.neurips.cc/paper/2018/hash/14491b756b3a51daac41c24863285549-Abstract.html","volume":"31","author":[{"family":"Prokhorenkova","given":"Liudmila"},{"family":"Gusev","given":"Gleb"},{"family":"Vorobev","given":"A</w:instrText>
      </w:r>
      <w:r>
        <w:rPr>
          <w:bCs/>
          <w:color w:val="000000"/>
        </w:rPr>
        <w:instrText>leksandr"},{"family":"Dorogush","given":"Anna Veronika"},{"family":"Gulin","given":"Andrey"}],"accessed":{"date-parts":[["2024",2,24]]},"issued":{"date-parts":[["2018"]]}},"label":"page"}],"schema":"https://github.com/citation-style-language/schema/raw/mas</w:instrText>
      </w:r>
      <w:r>
        <w:rPr>
          <w:bCs/>
          <w:color w:val="000000"/>
        </w:rPr>
        <w:instrText xml:space="preserve">ter/csl-citation.json"} </w:instrText>
      </w:r>
      <w:r>
        <w:rPr>
          <w:bCs/>
          <w:color w:val="000000"/>
        </w:rPr>
        <w:fldChar w:fldCharType="separate"/>
      </w:r>
      <w:r>
        <w:rPr>
          <w:kern w:val="0"/>
          <w:szCs w:val="24"/>
          <w:vertAlign w:val="superscript"/>
        </w:rPr>
        <w:t>19–22</w:t>
      </w:r>
      <w:r>
        <w:rPr>
          <w:bCs/>
          <w:color w:val="000000"/>
        </w:rPr>
        <w:fldChar w:fldCharType="end"/>
      </w:r>
      <w:r>
        <w:rPr>
          <w:rFonts w:hint="eastAsia"/>
          <w:bCs/>
          <w:color w:val="000000"/>
        </w:rPr>
        <w:t xml:space="preserve"> We used Root Mean Square Error (RMSE) and Mean Absolute Error (MAE) as evaluation metrics to quantify the predictive accuracy of the models at different training sample sizes.</w:t>
      </w:r>
      <w:r>
        <w:rPr>
          <w:bCs/>
          <w:color w:val="000000"/>
        </w:rPr>
        <w:t xml:space="preserve"> The specific results are shown in </w:t>
      </w:r>
      <w:r>
        <w:rPr>
          <w:b/>
          <w:color w:val="000000"/>
        </w:rPr>
        <w:t xml:space="preserve">Figure 3. </w:t>
      </w:r>
      <w:r>
        <w:rPr>
          <w:bCs/>
          <w:color w:val="000000"/>
        </w:rPr>
        <w:t>The</w:t>
      </w:r>
      <w:r>
        <w:rPr>
          <w:bCs/>
          <w:color w:val="000000"/>
        </w:rPr>
        <w:t xml:space="preserve"> experimental results reveal that the LLAMA model performs significantly better than the RDKit</w:t>
      </w:r>
      <w:r>
        <w:rPr>
          <w:bCs/>
          <w:color w:val="000000"/>
        </w:rPr>
        <w:t xml:space="preserve">-based algorithms </w:t>
      </w:r>
      <w:r>
        <w:rPr>
          <w:bCs/>
          <w:color w:val="000000"/>
        </w:rPr>
        <w:t xml:space="preserve">when trained with very few training samples (zero-shot or few-shot learning scenarios). Specifically, </w:t>
      </w:r>
      <w:r>
        <w:rPr>
          <w:bCs/>
          <w:color w:val="000000"/>
        </w:rPr>
        <w:t xml:space="preserve">when the sample size is </w:t>
      </w:r>
      <w:r>
        <w:rPr>
          <w:bCs/>
          <w:color w:val="000000"/>
        </w:rPr>
        <w:t>50</w:t>
      </w:r>
      <w:r>
        <w:rPr>
          <w:bCs/>
          <w:color w:val="000000"/>
        </w:rPr>
        <w:t>,</w:t>
      </w:r>
      <w:r>
        <w:rPr>
          <w:rFonts w:hint="eastAsia"/>
          <w:bCs/>
          <w:color w:val="000000"/>
        </w:rPr>
        <w:t xml:space="preserve"> </w:t>
      </w:r>
      <w:r>
        <w:rPr>
          <w:bCs/>
          <w:color w:val="000000"/>
        </w:rPr>
        <w:t xml:space="preserve">MAE and RMSE </w:t>
      </w:r>
      <w:r>
        <w:rPr>
          <w:bCs/>
          <w:color w:val="000000"/>
        </w:rPr>
        <w:t>L</w:t>
      </w:r>
      <w:r>
        <w:rPr>
          <w:bCs/>
          <w:color w:val="000000"/>
        </w:rPr>
        <w:t xml:space="preserve">LAMA algorithm achieved are </w:t>
      </w:r>
      <w:r>
        <w:rPr>
          <w:rFonts w:hint="eastAsia"/>
        </w:rPr>
        <w:t>0</w:t>
      </w:r>
      <w:r>
        <w:t>.</w:t>
      </w:r>
      <w:r>
        <w:rPr>
          <w:rFonts w:hint="eastAsia"/>
        </w:rPr>
        <w:t>6023</w:t>
      </w:r>
      <w:r>
        <w:t xml:space="preserve"> and </w:t>
      </w:r>
      <w:r>
        <w:rPr>
          <w:rFonts w:hint="eastAsia"/>
        </w:rPr>
        <w:t>0.</w:t>
      </w:r>
      <w:r>
        <w:rPr>
          <w:rFonts w:hint="eastAsia"/>
        </w:rPr>
        <w:t>2072</w:t>
      </w:r>
      <w:r>
        <w:t>. However,</w:t>
      </w:r>
      <w:r>
        <w:rPr>
          <w:bCs/>
          <w:color w:val="000000"/>
        </w:rPr>
        <w:t xml:space="preserve"> the </w:t>
      </w:r>
      <w:r>
        <w:rPr>
          <w:bCs/>
          <w:color w:val="000000"/>
        </w:rPr>
        <w:t xml:space="preserve">other </w:t>
      </w:r>
      <w:r>
        <w:rPr>
          <w:rFonts w:hint="eastAsia"/>
          <w:bCs/>
          <w:color w:val="000000"/>
        </w:rPr>
        <w:t>four</w:t>
      </w:r>
      <w:r>
        <w:rPr>
          <w:bCs/>
          <w:color w:val="000000"/>
        </w:rPr>
        <w:t xml:space="preserve"> algorithms</w:t>
      </w:r>
      <w:r>
        <w:rPr>
          <w:rFonts w:hint="eastAsia"/>
          <w:bCs/>
          <w:color w:val="000000"/>
        </w:rPr>
        <w:t xml:space="preserve"> </w:t>
      </w:r>
      <w:r>
        <w:rPr>
          <w:bCs/>
          <w:color w:val="000000"/>
        </w:rPr>
        <w:t xml:space="preserve">function </w:t>
      </w:r>
      <w:r>
        <w:rPr>
          <w:rFonts w:hint="eastAsia"/>
          <w:bCs/>
          <w:color w:val="000000"/>
        </w:rPr>
        <w:t>wi</w:t>
      </w:r>
      <w:r>
        <w:rPr>
          <w:bCs/>
          <w:color w:val="000000"/>
        </w:rPr>
        <w:t xml:space="preserve">th </w:t>
      </w:r>
      <w:r>
        <w:rPr>
          <w:bCs/>
          <w:color w:val="000000"/>
        </w:rPr>
        <w:t>MAE (0.6257-0.6834) and RMSE (0.2738-0.4253)</w:t>
      </w:r>
      <w:r>
        <w:rPr>
          <w:bCs/>
          <w:color w:val="000000"/>
        </w:rPr>
        <w:t>. However, as the number of training samples increases the performance improvement rate of LLAMA gradually slows dow</w:t>
      </w:r>
      <w:r>
        <w:rPr>
          <w:bCs/>
          <w:color w:val="000000"/>
        </w:rPr>
        <w:t xml:space="preserve">n, while traditional machine learning methods continue to improve. Particularly, when the sample size approaches 1000, </w:t>
      </w:r>
      <w:r>
        <w:rPr>
          <w:bCs/>
          <w:color w:val="000000"/>
        </w:rPr>
        <w:t>MAE and RMSE</w:t>
      </w:r>
      <w:r>
        <w:rPr>
          <w:bCs/>
          <w:color w:val="000000"/>
        </w:rPr>
        <w:t xml:space="preserve"> of LLAMA </w:t>
      </w:r>
      <w:r>
        <w:rPr>
          <w:bCs/>
          <w:color w:val="000000"/>
        </w:rPr>
        <w:t xml:space="preserve">are </w:t>
      </w:r>
      <w:r>
        <w:t>0</w:t>
      </w:r>
      <w:r>
        <w:t>.</w:t>
      </w:r>
      <w:r>
        <w:t>5088</w:t>
      </w:r>
      <w:r>
        <w:t xml:space="preserve"> and </w:t>
      </w:r>
      <w:r>
        <w:rPr>
          <w:rFonts w:hint="eastAsia"/>
        </w:rPr>
        <w:t>0.</w:t>
      </w:r>
      <w:r>
        <w:rPr>
          <w:rFonts w:hint="eastAsia"/>
        </w:rPr>
        <w:t>1535</w:t>
      </w:r>
      <w:r>
        <w:t>.</w:t>
      </w:r>
      <w:r>
        <w:rPr>
          <w:bCs/>
          <w:color w:val="000000"/>
        </w:rPr>
        <w:t xml:space="preserve"> </w:t>
      </w:r>
      <w:r>
        <w:rPr>
          <w:bCs/>
          <w:color w:val="000000"/>
        </w:rPr>
        <w:t>C</w:t>
      </w:r>
      <w:r>
        <w:rPr>
          <w:rFonts w:hint="eastAsia"/>
          <w:bCs/>
          <w:color w:val="000000"/>
        </w:rPr>
        <w:t>omp</w:t>
      </w:r>
      <w:r>
        <w:rPr>
          <w:bCs/>
          <w:color w:val="000000"/>
        </w:rPr>
        <w:t xml:space="preserve">aratively, </w:t>
      </w:r>
      <w:r>
        <w:rPr>
          <w:bCs/>
          <w:color w:val="000000"/>
        </w:rPr>
        <w:t>XGBoost and CatBoost show performance improvements</w:t>
      </w:r>
      <w:r>
        <w:rPr>
          <w:bCs/>
          <w:color w:val="000000"/>
        </w:rPr>
        <w:t>, with MAE (</w:t>
      </w:r>
      <w:r>
        <w:rPr>
          <w:bCs/>
          <w:color w:val="000000"/>
        </w:rPr>
        <w:t>XGBoost</w:t>
      </w:r>
      <w:r>
        <w:rPr>
          <w:bCs/>
          <w:color w:val="000000"/>
        </w:rPr>
        <w:t xml:space="preserve"> </w:t>
      </w:r>
      <w:r>
        <w:rPr>
          <w:rFonts w:hint="eastAsia"/>
        </w:rPr>
        <w:t>0.</w:t>
      </w:r>
      <w:r>
        <w:rPr>
          <w:rFonts w:hint="eastAsia"/>
        </w:rPr>
        <w:t>4701</w:t>
      </w:r>
      <w:r>
        <w:t xml:space="preserve">; </w:t>
      </w:r>
      <w:r>
        <w:rPr>
          <w:bCs/>
          <w:color w:val="000000"/>
        </w:rPr>
        <w:t>CatBoost</w:t>
      </w:r>
      <w:r>
        <w:rPr>
          <w:bCs/>
          <w:color w:val="000000"/>
        </w:rPr>
        <w:t xml:space="preserve"> </w:t>
      </w:r>
      <w:r>
        <w:rPr>
          <w:rFonts w:hint="eastAsia"/>
        </w:rPr>
        <w:t>0</w:t>
      </w:r>
      <w:r>
        <w:t>.</w:t>
      </w:r>
      <w:r>
        <w:rPr>
          <w:rFonts w:hint="eastAsia"/>
        </w:rPr>
        <w:t>4821</w:t>
      </w:r>
      <w:r>
        <w:rPr>
          <w:bCs/>
          <w:color w:val="000000"/>
        </w:rPr>
        <w:t>) and RMSE (</w:t>
      </w:r>
      <w:r>
        <w:rPr>
          <w:bCs/>
          <w:color w:val="000000"/>
        </w:rPr>
        <w:t>XGBoost</w:t>
      </w:r>
      <w:r>
        <w:rPr>
          <w:bCs/>
          <w:color w:val="000000"/>
        </w:rPr>
        <w:t xml:space="preserve"> </w:t>
      </w:r>
      <w:r>
        <w:rPr>
          <w:rFonts w:hint="eastAsia"/>
        </w:rPr>
        <w:t>0.</w:t>
      </w:r>
      <w:r>
        <w:rPr>
          <w:rFonts w:hint="eastAsia"/>
        </w:rPr>
        <w:t>0631</w:t>
      </w:r>
      <w:r>
        <w:t xml:space="preserve">; </w:t>
      </w:r>
      <w:r>
        <w:rPr>
          <w:bCs/>
          <w:color w:val="000000"/>
        </w:rPr>
        <w:t>CatBoost</w:t>
      </w:r>
      <w:r>
        <w:rPr>
          <w:bCs/>
          <w:color w:val="000000"/>
        </w:rPr>
        <w:t xml:space="preserve"> </w:t>
      </w:r>
      <w:r>
        <w:rPr>
          <w:rFonts w:hint="eastAsia"/>
        </w:rPr>
        <w:t>0.</w:t>
      </w:r>
      <w:r>
        <w:rPr>
          <w:rFonts w:hint="eastAsia"/>
        </w:rPr>
        <w:t>0516</w:t>
      </w:r>
      <w:r>
        <w:t>).</w:t>
      </w:r>
      <w:r>
        <w:rPr>
          <w:bCs/>
          <w:color w:val="000000"/>
        </w:rPr>
        <w:t xml:space="preserve"> </w:t>
      </w:r>
      <w:r>
        <w:rPr>
          <w:rFonts w:hint="eastAsia"/>
          <w:bCs/>
          <w:color w:val="000000"/>
        </w:rPr>
        <w:t>These observations emphasize the applicability of the LLAMA model in data-limited environmental science research. Its strong zero-shot and few-shot learning capabilities allow it to provide</w:t>
      </w:r>
      <w:r>
        <w:rPr>
          <w:rFonts w:hint="eastAsia"/>
          <w:bCs/>
          <w:color w:val="000000"/>
        </w:rPr>
        <w:t xml:space="preserve"> relatively accurate predictions in </w:t>
      </w:r>
      <w:r>
        <w:rPr>
          <w:rFonts w:hint="eastAsia"/>
          <w:bCs/>
          <w:color w:val="000000"/>
        </w:rPr>
        <w:lastRenderedPageBreak/>
        <w:t>scenarios with scarce samples, which is particularly valuable for environmental applications. Although the performance gains of LLAMA may be limited in data-rich scenarios, considering the typically high cost and complex</w:t>
      </w:r>
      <w:r>
        <w:rPr>
          <w:rFonts w:hint="eastAsia"/>
          <w:bCs/>
          <w:color w:val="000000"/>
        </w:rPr>
        <w:t>ity of acquiring environmental data, an accurate few-shot learning model like LLAMA can provide an effective solution to support environmental decision-making and policy formulation. Therefore, we recommend prioritizing the use of the LLAMA model in enviro</w:t>
      </w:r>
      <w:r>
        <w:rPr>
          <w:rFonts w:hint="eastAsia"/>
          <w:bCs/>
          <w:color w:val="000000"/>
        </w:rPr>
        <w:t>nmental applications, especially in cases of high-quality data scarcity. Furthermore, we advocate for further optimization and customization of the LLAMA model to adapt to the specific characteristics of environmental data, further enhancing its applicatio</w:t>
      </w:r>
      <w:r>
        <w:rPr>
          <w:rFonts w:hint="eastAsia"/>
          <w:bCs/>
          <w:color w:val="000000"/>
        </w:rPr>
        <w:t>n value in environmental science.</w:t>
      </w:r>
    </w:p>
    <w:p w14:paraId="6C5D611A" w14:textId="77777777" w:rsidR="000F3761" w:rsidRDefault="00AB3A62">
      <w:pPr>
        <w:widowControl/>
        <w:spacing w:line="480" w:lineRule="auto"/>
        <w:rPr>
          <w:rFonts w:ascii="Times New Roman" w:hAnsi="Times New Roman" w:cs="Times New Roman"/>
          <w:bCs/>
          <w:sz w:val="24"/>
          <w:szCs w:val="24"/>
        </w:rPr>
      </w:pPr>
      <w:r>
        <w:rPr>
          <w:bCs/>
          <w:color w:val="000000"/>
        </w:rPr>
        <w:t xml:space="preserve">  </w:t>
      </w:r>
      <w:r>
        <w:rPr>
          <w:rFonts w:ascii="Times New Roman" w:hAnsi="Times New Roman" w:cs="Times New Roman"/>
          <w:b/>
          <w:color w:val="000000"/>
          <w:sz w:val="24"/>
          <w:szCs w:val="24"/>
        </w:rPr>
        <w:t xml:space="preserve">Chain of Thought and Interpretability. </w:t>
      </w:r>
      <w:r>
        <w:rPr>
          <w:rFonts w:ascii="Times New Roman" w:hAnsi="Times New Roman" w:cs="Times New Roman"/>
          <w:bCs/>
          <w:color w:val="000000"/>
          <w:sz w:val="24"/>
          <w:szCs w:val="24"/>
        </w:rPr>
        <w:t>In this study, we employed the Llama 2-13B-chat model and conducted targeted fine-tuning using LoRA to enhance the prediction accuracy of the biodegradation half-life of specific ch</w:t>
      </w:r>
      <w:r>
        <w:rPr>
          <w:rFonts w:ascii="Times New Roman" w:hAnsi="Times New Roman" w:cs="Times New Roman"/>
          <w:bCs/>
          <w:color w:val="000000"/>
          <w:sz w:val="24"/>
          <w:szCs w:val="24"/>
        </w:rPr>
        <w:t>emical compounds. To further augment the model's reasoning capabilities, we introduced a Chain of Thought (CoT) process to generate more detailed prediction explanations.</w:t>
      </w:r>
      <w:r>
        <w:rPr>
          <w:rFonts w:ascii="Times New Roman" w:hAnsi="Times New Roman" w:cs="Times New Roman"/>
          <w:bCs/>
          <w:color w:val="000000"/>
          <w:sz w:val="24"/>
          <w:szCs w:val="24"/>
        </w:rPr>
        <w:fldChar w:fldCharType="begin"/>
      </w:r>
      <w:r>
        <w:rPr>
          <w:rFonts w:ascii="Times New Roman" w:hAnsi="Times New Roman" w:cs="Times New Roman"/>
          <w:bCs/>
          <w:color w:val="000000"/>
          <w:sz w:val="24"/>
          <w:szCs w:val="24"/>
        </w:rPr>
        <w:instrText xml:space="preserve"> ADDIN ZOTERO_ITEM CSL_CITATION {"citationID":"m0Yk4aZB","properties":{"formattedCitat</w:instrText>
      </w:r>
      <w:r>
        <w:rPr>
          <w:rFonts w:ascii="Times New Roman" w:hAnsi="Times New Roman" w:cs="Times New Roman"/>
          <w:bCs/>
          <w:color w:val="000000"/>
          <w:sz w:val="24"/>
          <w:szCs w:val="24"/>
        </w:rPr>
        <w:instrText xml:space="preserve">ion":"\\super 13\\nosupersub{}","plainCitation":"13","noteIndex":0},"citationItems":[{"id":56,"uris":["http://zotero.org/users/local/4YXbPDcN/items/D6EL2A4A"],"itemData":{"id":56,"type":"article","abstract":"We explore how generating a chain of thought -- </w:instrText>
      </w:r>
      <w:r>
        <w:rPr>
          <w:rFonts w:ascii="Times New Roman" w:hAnsi="Times New Roman" w:cs="Times New Roman"/>
          <w:bCs/>
          <w:color w:val="000000"/>
          <w:sz w:val="24"/>
          <w:szCs w:val="24"/>
        </w:rPr>
        <w:instrText>a series of intermediate reasoning steps -- significantly improves the ability of large language models to perform complex reasoning. In particular, we show how such reasoning abilities emerge naturally in sufficiently large language models via a simple me</w:instrText>
      </w:r>
      <w:r>
        <w:rPr>
          <w:rFonts w:ascii="Times New Roman" w:hAnsi="Times New Roman" w:cs="Times New Roman"/>
          <w:bCs/>
          <w:color w:val="000000"/>
          <w:sz w:val="24"/>
          <w:szCs w:val="24"/>
        </w:rPr>
        <w:instrText>thod called chain of thought prompting, where a few chain of thought demonstrations are provided as exemplars in prompting. Experiments on three large language models show that chain of thought prompting improves performance on a range of arithmetic, commo</w:instrText>
      </w:r>
      <w:r>
        <w:rPr>
          <w:rFonts w:ascii="Times New Roman" w:hAnsi="Times New Roman" w:cs="Times New Roman"/>
          <w:bCs/>
          <w:color w:val="000000"/>
          <w:sz w:val="24"/>
          <w:szCs w:val="24"/>
        </w:rPr>
        <w:instrText>nsense, and symbolic reasoning tasks. The empirical gains can be striking. For instance, prompting a 540B-parameter language model with just eight chain of thought exemplars achieves state of the art accuracy on the GSM8K benchmark of math word problems, s</w:instrText>
      </w:r>
      <w:r>
        <w:rPr>
          <w:rFonts w:ascii="Times New Roman" w:hAnsi="Times New Roman" w:cs="Times New Roman"/>
          <w:bCs/>
          <w:color w:val="000000"/>
          <w:sz w:val="24"/>
          <w:szCs w:val="24"/>
        </w:rPr>
        <w:instrText>urpassing even finetuned GPT-3 with a verifier.","note":"arXiv:2201.11903 [cs]","number":"arXiv:2201.11903","publisher":"arXiv","source":"arXiv.org","title":"Chain-of-Thought Prompting Elicits Reasoning in Large Language Models","URL":"http://arxiv.org/abs</w:instrText>
      </w:r>
      <w:r>
        <w:rPr>
          <w:rFonts w:ascii="Times New Roman" w:hAnsi="Times New Roman" w:cs="Times New Roman"/>
          <w:bCs/>
          <w:color w:val="000000"/>
          <w:sz w:val="24"/>
          <w:szCs w:val="24"/>
        </w:rPr>
        <w:instrText>/2201.11903","author":[{"family":"Wei","given":"Jason"},{"family":"Wang","given":"Xuezhi"},{"family":"Schuurmans","given":"Dale"},{"family":"Bosma","given":"Maarten"},{"family":"Ichter","given":"Brian"},{"family":"Xia","given":"Fei"},{"family":"Chi","given</w:instrText>
      </w:r>
      <w:r>
        <w:rPr>
          <w:rFonts w:ascii="Times New Roman" w:hAnsi="Times New Roman" w:cs="Times New Roman"/>
          <w:bCs/>
          <w:color w:val="000000"/>
          <w:sz w:val="24"/>
          <w:szCs w:val="24"/>
        </w:rPr>
        <w:instrText xml:space="preserve">":"Ed"},{"family":"Le","given":"Quoc"},{"family":"Zhou","given":"Denny"}],"accessed":{"date-parts":[["2024",2,24]]},"issued":{"date-parts":[["2023",1,10]]}}}],"schema":"https://github.com/citation-style-language/schema/raw/master/csl-citation.json"} </w:instrText>
      </w:r>
      <w:r>
        <w:rPr>
          <w:rFonts w:ascii="Times New Roman" w:hAnsi="Times New Roman" w:cs="Times New Roman"/>
          <w:bCs/>
          <w:color w:val="000000"/>
          <w:sz w:val="24"/>
          <w:szCs w:val="24"/>
        </w:rPr>
        <w:fldChar w:fldCharType="separate"/>
      </w:r>
      <w:r>
        <w:rPr>
          <w:rFonts w:ascii="Times New Roman" w:hAnsi="Times New Roman" w:cs="Times New Roman"/>
          <w:kern w:val="0"/>
          <w:sz w:val="24"/>
          <w:szCs w:val="24"/>
          <w:vertAlign w:val="superscript"/>
        </w:rPr>
        <w:t>13</w:t>
      </w:r>
      <w:r>
        <w:rPr>
          <w:rFonts w:ascii="Times New Roman" w:hAnsi="Times New Roman" w:cs="Times New Roman"/>
          <w:bCs/>
          <w:color w:val="000000"/>
          <w:sz w:val="24"/>
          <w:szCs w:val="24"/>
        </w:rPr>
        <w:fldChar w:fldCharType="end"/>
      </w:r>
      <w:r>
        <w:rPr>
          <w:rFonts w:ascii="Times New Roman" w:hAnsi="Times New Roman" w:cs="Times New Roman"/>
          <w:bCs/>
          <w:color w:val="000000"/>
          <w:sz w:val="24"/>
          <w:szCs w:val="24"/>
        </w:rPr>
        <w:t xml:space="preserve"> Comparative analysis of the half-life predictions for the molecule DTXSID70790800 is shown in </w:t>
      </w:r>
      <w:r>
        <w:rPr>
          <w:rFonts w:ascii="Times New Roman" w:hAnsi="Times New Roman" w:cs="Times New Roman"/>
          <w:b/>
          <w:color w:val="000000"/>
          <w:sz w:val="24"/>
          <w:szCs w:val="24"/>
        </w:rPr>
        <w:t>Figure 2.</w:t>
      </w:r>
      <w:r>
        <w:rPr>
          <w:rFonts w:ascii="Times New Roman" w:hAnsi="Times New Roman" w:cs="Times New Roman"/>
          <w:sz w:val="24"/>
          <w:szCs w:val="24"/>
        </w:rPr>
        <w:t xml:space="preserve"> </w:t>
      </w:r>
      <w:r>
        <w:rPr>
          <w:rFonts w:ascii="Times New Roman" w:hAnsi="Times New Roman" w:cs="Times New Roman"/>
          <w:bCs/>
          <w:color w:val="000000"/>
          <w:sz w:val="24"/>
          <w:szCs w:val="24"/>
        </w:rPr>
        <w:t>The left panel presents an initially incorrect simulation suggesting a half-life of 1 month. The right panel shows the refined results after a guided t</w:t>
      </w:r>
      <w:r>
        <w:rPr>
          <w:rFonts w:ascii="Times New Roman" w:hAnsi="Times New Roman" w:cs="Times New Roman"/>
          <w:bCs/>
          <w:color w:val="000000"/>
          <w:sz w:val="24"/>
          <w:szCs w:val="24"/>
        </w:rPr>
        <w:t>hought process, indicating a half-life of 5.3 days, which is deemed almost correct.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Through this approach, the model not only provides a prediction for the half-life but also offers a step-by-step reasoning path, demonstrating how it arrived at this predic</w:t>
      </w:r>
      <w:r>
        <w:rPr>
          <w:rFonts w:ascii="Times New Roman" w:hAnsi="Times New Roman" w:cs="Times New Roman"/>
          <w:bCs/>
          <w:color w:val="000000"/>
          <w:sz w:val="24"/>
          <w:szCs w:val="24"/>
        </w:rPr>
        <w:t xml:space="preserve">tion. To gain a deeper understanding of the model's decision-making process, we focused on analyzing </w:t>
      </w:r>
      <w:r>
        <w:rPr>
          <w:rFonts w:ascii="Times New Roman" w:hAnsi="Times New Roman" w:cs="Times New Roman"/>
          <w:bCs/>
          <w:color w:val="000000"/>
          <w:sz w:val="24"/>
          <w:szCs w:val="24"/>
        </w:rPr>
        <w:lastRenderedPageBreak/>
        <w:t>feature importance and the model's decision pathways. Firstly, we assessed the impact of input features, especially structural elements in the SMILES repre</w:t>
      </w:r>
      <w:r>
        <w:rPr>
          <w:rFonts w:ascii="Times New Roman" w:hAnsi="Times New Roman" w:cs="Times New Roman"/>
          <w:bCs/>
          <w:color w:val="000000"/>
          <w:sz w:val="24"/>
          <w:szCs w:val="24"/>
        </w:rPr>
        <w:t>sentation, on the model's predictions. By identifying the features that have the greatest influence on prediction results, we can discern which chemical structural attributes are more closely associated with the biodegradability of compounds. Additionally,</w:t>
      </w:r>
      <w:r>
        <w:rPr>
          <w:rFonts w:ascii="Times New Roman" w:hAnsi="Times New Roman" w:cs="Times New Roman"/>
          <w:bCs/>
          <w:color w:val="000000"/>
          <w:sz w:val="24"/>
          <w:szCs w:val="24"/>
        </w:rPr>
        <w:t xml:space="preserve"> we utilized the intermediate steps generated by CoT to trace the model's reasoning path. This not only aids in comprehending how the model progressively constructs its predictions but also reveals the assumptions or rules upon which the model may rely in </w:t>
      </w:r>
      <w:r>
        <w:rPr>
          <w:rFonts w:ascii="Times New Roman" w:hAnsi="Times New Roman" w:cs="Times New Roman"/>
          <w:bCs/>
          <w:color w:val="000000"/>
          <w:sz w:val="24"/>
          <w:szCs w:val="24"/>
        </w:rPr>
        <w:t>specific scenarios.</w:t>
      </w:r>
      <w:r>
        <w:rPr>
          <w:b/>
          <w:sz w:val="24"/>
          <w:szCs w:val="24"/>
        </w:rPr>
        <w:t xml:space="preserve"> </w:t>
      </w:r>
      <w:r>
        <w:rPr>
          <w:rFonts w:ascii="Times New Roman" w:hAnsi="Times New Roman" w:cs="Times New Roman"/>
          <w:b/>
          <w:sz w:val="24"/>
          <w:szCs w:val="24"/>
        </w:rPr>
        <w:t>Fig</w:t>
      </w:r>
      <w:r>
        <w:rPr>
          <w:rFonts w:ascii="Times New Roman" w:hAnsi="Times New Roman" w:cs="Times New Roman" w:hint="eastAsia"/>
          <w:b/>
          <w:sz w:val="24"/>
          <w:szCs w:val="24"/>
        </w:rPr>
        <w:t>ure</w:t>
      </w:r>
      <w:r>
        <w:rPr>
          <w:rFonts w:ascii="Times New Roman" w:hAnsi="Times New Roman" w:cs="Times New Roman"/>
          <w:b/>
          <w:sz w:val="24"/>
          <w:szCs w:val="24"/>
        </w:rPr>
        <w:t xml:space="preserve"> 4 </w:t>
      </w:r>
      <w:r>
        <w:rPr>
          <w:rFonts w:ascii="Times New Roman" w:hAnsi="Times New Roman" w:cs="Times New Roman"/>
          <w:bCs/>
          <w:sz w:val="24"/>
          <w:szCs w:val="24"/>
        </w:rPr>
        <w:t>i</w:t>
      </w:r>
      <w:r>
        <w:rPr>
          <w:rFonts w:ascii="Times New Roman" w:hAnsi="Times New Roman" w:cs="Times New Roman"/>
          <w:bCs/>
          <w:sz w:val="24"/>
          <w:szCs w:val="24"/>
        </w:rPr>
        <w:t>llust</w:t>
      </w:r>
      <w:r>
        <w:rPr>
          <w:rFonts w:ascii="Times New Roman" w:hAnsi="Times New Roman" w:cs="Times New Roman"/>
          <w:bCs/>
          <w:sz w:val="24"/>
          <w:szCs w:val="24"/>
        </w:rPr>
        <w:t>rate</w:t>
      </w:r>
      <w:r>
        <w:rPr>
          <w:rFonts w:ascii="Times New Roman" w:hAnsi="Times New Roman" w:cs="Times New Roman"/>
          <w:bCs/>
          <w:sz w:val="24"/>
          <w:szCs w:val="24"/>
        </w:rPr>
        <w:t>s</w:t>
      </w:r>
      <w:r>
        <w:rPr>
          <w:rFonts w:ascii="Times New Roman" w:hAnsi="Times New Roman" w:cs="Times New Roman"/>
          <w:bCs/>
          <w:sz w:val="24"/>
          <w:szCs w:val="24"/>
        </w:rPr>
        <w:t xml:space="preserve"> the Chain of Thought (CoT) process for estimating the half-life of two chemical compounds. </w:t>
      </w:r>
      <w:r>
        <w:rPr>
          <w:rFonts w:ascii="Times New Roman" w:hAnsi="Times New Roman" w:cs="Times New Roman"/>
          <w:bCs/>
          <w:sz w:val="24"/>
          <w:szCs w:val="24"/>
        </w:rPr>
        <w:t xml:space="preserve">The left panel </w:t>
      </w:r>
      <w:r>
        <w:rPr>
          <w:rFonts w:ascii="Times New Roman" w:hAnsi="Times New Roman" w:cs="Times New Roman"/>
          <w:bCs/>
          <w:color w:val="000000" w:themeColor="text1"/>
          <w:sz w:val="24"/>
          <w:szCs w:val="24"/>
        </w:rPr>
        <w:t>shows</w:t>
      </w:r>
      <w:r>
        <w:rPr>
          <w:rFonts w:ascii="Times New Roman" w:hAnsi="Times New Roman" w:cs="Times New Roman"/>
          <w:bCs/>
          <w:color w:val="000000" w:themeColor="text1"/>
          <w:sz w:val="24"/>
          <w:szCs w:val="24"/>
        </w:rPr>
        <w:t xml:space="preserve"> t</w:t>
      </w:r>
      <w:r>
        <w:rPr>
          <w:rFonts w:ascii="Times New Roman" w:hAnsi="Times New Roman" w:cs="Times New Roman"/>
          <w:bCs/>
          <w:sz w:val="24"/>
          <w:szCs w:val="24"/>
        </w:rPr>
        <w:t xml:space="preserve">he CoT for Decane (DTXSID8020606), highlighting the posed question, the chemical rationale based on </w:t>
      </w:r>
      <w:r>
        <w:rPr>
          <w:rFonts w:ascii="Times New Roman" w:hAnsi="Times New Roman" w:cs="Times New Roman"/>
          <w:bCs/>
          <w:sz w:val="24"/>
          <w:szCs w:val="24"/>
        </w:rPr>
        <w:t>its non-polarity and lack of functional groups, the estimated half-life, and the actual half-life for validation. The right panel shows a similar CoT for the compound with SMILES notation FC(F)(F)C(Br)(C(Br)=O)C(F)(F)F (DTXSID70790800), discussing the impa</w:t>
      </w:r>
      <w:r>
        <w:rPr>
          <w:rFonts w:ascii="Times New Roman" w:hAnsi="Times New Roman" w:cs="Times New Roman"/>
          <w:bCs/>
          <w:sz w:val="24"/>
          <w:szCs w:val="24"/>
        </w:rPr>
        <w:t>ct of halogens and a dicarbonyl group on reactivity, the estimated half-life based on these features, and the corresponding actual half-life. This figure demonstrates the application of CoT in deriving educated predictions that are then compared with empir</w:t>
      </w:r>
      <w:r>
        <w:rPr>
          <w:rFonts w:ascii="Times New Roman" w:hAnsi="Times New Roman" w:cs="Times New Roman"/>
          <w:bCs/>
          <w:sz w:val="24"/>
          <w:szCs w:val="24"/>
        </w:rPr>
        <w:t>ical data.</w:t>
      </w:r>
    </w:p>
    <w:p w14:paraId="55632113" w14:textId="77777777" w:rsidR="000F3761" w:rsidRDefault="000F3761">
      <w:pPr>
        <w:widowControl/>
        <w:spacing w:line="480" w:lineRule="auto"/>
        <w:rPr>
          <w:rFonts w:ascii="Times New Roman" w:hAnsi="Times New Roman" w:cs="Times New Roman"/>
          <w:bCs/>
          <w:sz w:val="24"/>
          <w:szCs w:val="24"/>
        </w:rPr>
      </w:pPr>
    </w:p>
    <w:p w14:paraId="56F8AED7" w14:textId="77777777" w:rsidR="000F3761" w:rsidRDefault="00AB3A62">
      <w:pPr>
        <w:adjustRightInd w:val="0"/>
        <w:snapToGrid w:val="0"/>
        <w:spacing w:line="480" w:lineRule="auto"/>
        <w:rPr>
          <w:bCs/>
          <w:color w:val="000000"/>
        </w:rPr>
      </w:pPr>
      <w:r>
        <w:rPr>
          <w:rFonts w:ascii="Times New Roman" w:hAnsi="Times New Roman" w:cs="Times New Roman" w:hint="eastAsia"/>
          <w:sz w:val="24"/>
          <w:szCs w:val="21"/>
          <w:highlight w:val="yellow"/>
        </w:rPr>
        <w:t>根据</w:t>
      </w:r>
      <w:r>
        <w:rPr>
          <w:rFonts w:ascii="Times New Roman" w:hAnsi="Times New Roman" w:cs="Times New Roman" w:hint="eastAsia"/>
          <w:sz w:val="24"/>
          <w:szCs w:val="21"/>
          <w:highlight w:val="yellow"/>
        </w:rPr>
        <w:t>PFAS</w:t>
      </w:r>
      <w:r>
        <w:rPr>
          <w:rFonts w:ascii="Times New Roman" w:hAnsi="Times New Roman" w:cs="Times New Roman" w:hint="eastAsia"/>
          <w:sz w:val="24"/>
          <w:szCs w:val="21"/>
          <w:highlight w:val="yellow"/>
        </w:rPr>
        <w:t>分析一些结论，对比不同链长，有没有规律，或者哪个</w:t>
      </w:r>
      <w:r>
        <w:rPr>
          <w:rFonts w:ascii="Times New Roman" w:hAnsi="Times New Roman" w:cs="Times New Roman" w:hint="eastAsia"/>
          <w:sz w:val="24"/>
          <w:szCs w:val="21"/>
          <w:highlight w:val="yellow"/>
        </w:rPr>
        <w:t>biodegradable</w:t>
      </w:r>
      <w:r>
        <w:rPr>
          <w:rFonts w:ascii="Times New Roman" w:hAnsi="Times New Roman" w:cs="Times New Roman" w:hint="eastAsia"/>
          <w:sz w:val="24"/>
          <w:szCs w:val="21"/>
          <w:highlight w:val="yellow"/>
        </w:rPr>
        <w:t>最长或最短</w:t>
      </w:r>
    </w:p>
    <w:p w14:paraId="1D585F40" w14:textId="77777777" w:rsidR="000F3761" w:rsidRDefault="00AB3A62">
      <w:pPr>
        <w:pStyle w:val="2"/>
        <w:spacing w:line="480" w:lineRule="auto"/>
        <w:ind w:firstLineChars="100" w:firstLine="241"/>
        <w:outlineLvl w:val="0"/>
        <w:rPr>
          <w:rFonts w:ascii="Times New Roman Bold" w:hAnsi="Times New Roman Bold" w:cs="Times New Roman Bold"/>
          <w:b/>
          <w:color w:val="000000"/>
        </w:rPr>
      </w:pPr>
      <w:r>
        <w:rPr>
          <w:rFonts w:ascii="Times New Roman Bold" w:hAnsi="Times New Roman Bold" w:cs="Times New Roman Bold"/>
          <w:b/>
          <w:color w:val="000000"/>
        </w:rPr>
        <w:t>Applicability domain.</w:t>
      </w:r>
      <w:r>
        <w:rPr>
          <w:rFonts w:ascii="Times New Roman Bold" w:hAnsi="Times New Roman Bold" w:cs="Times New Roman Bold" w:hint="eastAsia"/>
          <w:b/>
          <w:color w:val="000000"/>
        </w:rPr>
        <w:t xml:space="preserve"> </w:t>
      </w:r>
      <w:r>
        <w:rPr>
          <w:bCs/>
          <w:color w:val="000000"/>
        </w:rPr>
        <w:t xml:space="preserve">In establishing the applicability domain, </w:t>
      </w:r>
      <w:r>
        <w:rPr>
          <w:b/>
          <w:color w:val="000000"/>
        </w:rPr>
        <w:t xml:space="preserve">Table2. </w:t>
      </w:r>
      <w:r>
        <w:rPr>
          <w:bCs/>
          <w:color w:val="000000"/>
        </w:rPr>
        <w:t xml:space="preserve">indicates </w:t>
      </w:r>
      <w:r>
        <w:rPr>
          <w:bCs/>
          <w:color w:val="000000"/>
        </w:rPr>
        <w:lastRenderedPageBreak/>
        <w:t>that as the threshold for maximum similarity increases, more compounds in the test dataset fall outside the domai</w:t>
      </w:r>
      <w:r>
        <w:rPr>
          <w:bCs/>
          <w:color w:val="000000"/>
        </w:rPr>
        <w:t>n. However, the RMSE_test first decreases and then increases, with a threshold of 0.86 yielding the minimum RMSE_test of 0.226, suggesting optimal model prediction performance. Although the differences in RMSE_test are marginal when the threshold exceeds 0</w:t>
      </w:r>
      <w:r>
        <w:rPr>
          <w:bCs/>
          <w:color w:val="000000"/>
        </w:rPr>
        <w:t>.74, the number of compounds outside the applicability domain also rises. Lower RMSE_test and fewer compounds outside the applicability domain are preferred when defining an optimal domain. Our analysis suggests that a threshold value of 0.86 is considered</w:t>
      </w:r>
      <w:r>
        <w:rPr>
          <w:bCs/>
          <w:color w:val="000000"/>
        </w:rPr>
        <w:t xml:space="preserve"> optimal, ensuring robust predictions across a diverse range of organic compounds.</w:t>
      </w:r>
    </w:p>
    <w:p w14:paraId="624AD85D" w14:textId="77777777" w:rsidR="000F3761" w:rsidRDefault="000F3761">
      <w:pPr>
        <w:pStyle w:val="2"/>
        <w:spacing w:line="480" w:lineRule="auto"/>
        <w:ind w:firstLineChars="0" w:firstLine="0"/>
        <w:outlineLvl w:val="0"/>
        <w:rPr>
          <w:bCs/>
          <w:color w:val="000000"/>
        </w:rPr>
      </w:pPr>
    </w:p>
    <w:p w14:paraId="6C5B57E0" w14:textId="77777777" w:rsidR="000F3761" w:rsidRDefault="000F3761">
      <w:pPr>
        <w:pStyle w:val="2"/>
        <w:spacing w:line="480" w:lineRule="auto"/>
        <w:ind w:firstLineChars="0" w:firstLine="0"/>
        <w:outlineLvl w:val="0"/>
        <w:rPr>
          <w:bCs/>
          <w:color w:val="000000"/>
        </w:rPr>
      </w:pPr>
    </w:p>
    <w:p w14:paraId="07472264" w14:textId="77777777" w:rsidR="000F3761" w:rsidRDefault="00AB3A62">
      <w:pPr>
        <w:spacing w:line="480" w:lineRule="auto"/>
        <w:rPr>
          <w:rFonts w:ascii="Times New Roman" w:eastAsia="黑体" w:hAnsi="Times New Roman" w:cs="Times New Roman"/>
          <w:b/>
          <w:sz w:val="24"/>
          <w:szCs w:val="24"/>
        </w:rPr>
      </w:pPr>
      <w:r>
        <w:rPr>
          <w:rFonts w:ascii="Times New Roman" w:eastAsia="黑体" w:hAnsi="Times New Roman" w:cs="Times New Roman"/>
          <w:b/>
          <w:sz w:val="24"/>
          <w:szCs w:val="24"/>
        </w:rPr>
        <w:t>ASSOCIATED CONTENT</w:t>
      </w:r>
    </w:p>
    <w:p w14:paraId="4EFF0D1A" w14:textId="77777777" w:rsidR="000F3761" w:rsidRDefault="00AB3A62">
      <w:pPr>
        <w:widowControl/>
        <w:spacing w:line="480" w:lineRule="auto"/>
        <w:ind w:firstLineChars="200" w:firstLine="482"/>
        <w:rPr>
          <w:rFonts w:ascii="Times New Roman" w:eastAsia="黑体" w:hAnsi="Times New Roman" w:cs="Times New Roman"/>
          <w:sz w:val="24"/>
          <w:szCs w:val="24"/>
        </w:rPr>
      </w:pPr>
      <w:r>
        <w:rPr>
          <w:rFonts w:ascii="Times New Roman" w:eastAsia="黑体" w:hAnsi="Times New Roman" w:cs="Times New Roman"/>
          <w:b/>
          <w:sz w:val="24"/>
          <w:szCs w:val="24"/>
        </w:rPr>
        <w:t>Supporting Information</w:t>
      </w:r>
      <w:r>
        <w:rPr>
          <w:rFonts w:ascii="Times New Roman" w:eastAsia="黑体" w:hAnsi="Times New Roman" w:cs="Times New Roman"/>
          <w:sz w:val="24"/>
          <w:szCs w:val="24"/>
        </w:rPr>
        <w:t xml:space="preserve">. </w:t>
      </w:r>
    </w:p>
    <w:p w14:paraId="29A66FD2" w14:textId="77777777" w:rsidR="000F3761" w:rsidRDefault="000F3761">
      <w:pPr>
        <w:widowControl/>
        <w:spacing w:line="480" w:lineRule="auto"/>
        <w:ind w:firstLineChars="200" w:firstLine="480"/>
        <w:rPr>
          <w:rFonts w:ascii="Times New Roman" w:eastAsia="等线" w:hAnsi="Times New Roman" w:cs="Times New Roman"/>
          <w:sz w:val="24"/>
          <w:szCs w:val="24"/>
        </w:rPr>
      </w:pPr>
    </w:p>
    <w:p w14:paraId="711C88CD" w14:textId="77777777" w:rsidR="000F3761" w:rsidRDefault="00AB3A62">
      <w:pPr>
        <w:widowControl/>
        <w:spacing w:line="480" w:lineRule="auto"/>
        <w:rPr>
          <w:rFonts w:ascii="Times New Roman" w:eastAsia="等线" w:hAnsi="Times New Roman" w:cs="Times New Roman"/>
          <w:b/>
          <w:sz w:val="24"/>
          <w:szCs w:val="24"/>
        </w:rPr>
      </w:pPr>
      <w:r>
        <w:rPr>
          <w:rFonts w:ascii="Times New Roman" w:eastAsia="等线" w:hAnsi="Times New Roman" w:cs="Times New Roman"/>
          <w:b/>
          <w:sz w:val="24"/>
          <w:szCs w:val="24"/>
        </w:rPr>
        <w:t>CRediT authorship contribution statement</w:t>
      </w:r>
    </w:p>
    <w:p w14:paraId="6EB9258B" w14:textId="77777777" w:rsidR="000F3761" w:rsidRDefault="00AB3A62">
      <w:pPr>
        <w:widowControl/>
        <w:spacing w:line="480" w:lineRule="auto"/>
        <w:ind w:firstLineChars="200" w:firstLine="480"/>
        <w:rPr>
          <w:rFonts w:ascii="Times New Roman" w:eastAsia="等线" w:hAnsi="Times New Roman" w:cs="Times New Roman"/>
          <w:sz w:val="24"/>
          <w:szCs w:val="24"/>
        </w:rPr>
      </w:pPr>
      <w:r>
        <w:rPr>
          <w:rFonts w:ascii="Times New Roman" w:eastAsia="等线" w:hAnsi="Times New Roman" w:cs="Times New Roman" w:hint="eastAsia"/>
          <w:b/>
          <w:bCs/>
          <w:sz w:val="24"/>
          <w:szCs w:val="24"/>
        </w:rPr>
        <w:t>Wufan</w:t>
      </w:r>
      <w:r>
        <w:rPr>
          <w:rFonts w:ascii="Times New Roman" w:eastAsia="等线" w:hAnsi="Times New Roman" w:cs="Times New Roman"/>
          <w:b/>
          <w:bCs/>
          <w:sz w:val="24"/>
          <w:szCs w:val="24"/>
        </w:rPr>
        <w:t xml:space="preserve"> </w:t>
      </w:r>
      <w:r>
        <w:rPr>
          <w:rFonts w:ascii="Times New Roman" w:eastAsia="等线" w:hAnsi="Times New Roman" w:cs="Times New Roman" w:hint="eastAsia"/>
          <w:b/>
          <w:bCs/>
          <w:sz w:val="24"/>
          <w:szCs w:val="24"/>
        </w:rPr>
        <w:t>Ding</w:t>
      </w:r>
      <w:r>
        <w:rPr>
          <w:rFonts w:ascii="Times New Roman" w:eastAsia="等线" w:hAnsi="Times New Roman" w:cs="Times New Roman"/>
          <w:b/>
          <w:bCs/>
          <w:sz w:val="24"/>
          <w:szCs w:val="24"/>
        </w:rPr>
        <w:t xml:space="preserve">: </w:t>
      </w:r>
      <w:r>
        <w:rPr>
          <w:rFonts w:ascii="Times New Roman" w:eastAsia="等线" w:hAnsi="Times New Roman" w:cs="Times New Roman"/>
          <w:bCs/>
          <w:sz w:val="24"/>
          <w:szCs w:val="24"/>
        </w:rPr>
        <w:t xml:space="preserve">Investigation, Data curation, Formal analysis, Writing-original draft; </w:t>
      </w:r>
      <w:r>
        <w:rPr>
          <w:rFonts w:ascii="Times New Roman" w:eastAsia="等线" w:hAnsi="Times New Roman" w:cs="Times New Roman"/>
          <w:b/>
          <w:bCs/>
          <w:sz w:val="24"/>
          <w:szCs w:val="24"/>
        </w:rPr>
        <w:t>Haodong Ji:</w:t>
      </w:r>
      <w:r>
        <w:rPr>
          <w:rFonts w:ascii="Times New Roman" w:eastAsia="等线" w:hAnsi="Times New Roman" w:cs="Times New Roman"/>
          <w:bCs/>
          <w:sz w:val="24"/>
          <w:szCs w:val="24"/>
        </w:rPr>
        <w:t xml:space="preserve"> Supervision, Conceptualization, Methodology, Funding acquisition, Writing-review &amp; editing.</w:t>
      </w:r>
    </w:p>
    <w:p w14:paraId="4FE2361D" w14:textId="77777777" w:rsidR="000F3761" w:rsidRDefault="000F3761">
      <w:pPr>
        <w:widowControl/>
        <w:spacing w:line="480" w:lineRule="auto"/>
        <w:rPr>
          <w:rFonts w:ascii="Times New Roman" w:eastAsia="等线" w:hAnsi="Times New Roman" w:cs="Times New Roman"/>
          <w:sz w:val="24"/>
          <w:szCs w:val="24"/>
        </w:rPr>
      </w:pPr>
    </w:p>
    <w:p w14:paraId="3442D0AD" w14:textId="77777777" w:rsidR="000F3761" w:rsidRDefault="00AB3A62">
      <w:pPr>
        <w:spacing w:line="480" w:lineRule="auto"/>
        <w:jc w:val="left"/>
        <w:rPr>
          <w:rFonts w:ascii="Times New Roman" w:eastAsia="黑体" w:hAnsi="Times New Roman" w:cs="Times New Roman"/>
          <w:b/>
          <w:kern w:val="0"/>
          <w:sz w:val="24"/>
          <w:szCs w:val="24"/>
          <w:lang w:eastAsia="en-US"/>
        </w:rPr>
      </w:pPr>
      <w:r>
        <w:rPr>
          <w:rFonts w:ascii="Times New Roman" w:eastAsia="黑体" w:hAnsi="Times New Roman" w:cs="Times New Roman"/>
          <w:b/>
          <w:kern w:val="0"/>
          <w:sz w:val="24"/>
          <w:szCs w:val="24"/>
          <w:lang w:eastAsia="en-US"/>
        </w:rPr>
        <w:t>AUTHOR INFORMATION</w:t>
      </w:r>
    </w:p>
    <w:p w14:paraId="024C4409" w14:textId="77777777" w:rsidR="000F3761" w:rsidRDefault="00AB3A62">
      <w:pPr>
        <w:spacing w:line="480" w:lineRule="auto"/>
        <w:jc w:val="left"/>
        <w:rPr>
          <w:rFonts w:ascii="Times New Roman" w:eastAsia="黑体" w:hAnsi="Times New Roman" w:cs="Times New Roman"/>
          <w:b/>
          <w:kern w:val="0"/>
          <w:sz w:val="24"/>
          <w:szCs w:val="24"/>
          <w:lang w:eastAsia="en-US"/>
        </w:rPr>
      </w:pPr>
      <w:r>
        <w:rPr>
          <w:rFonts w:ascii="Times New Roman" w:eastAsia="黑体" w:hAnsi="Times New Roman" w:cs="Times New Roman"/>
          <w:b/>
          <w:kern w:val="0"/>
          <w:sz w:val="24"/>
          <w:szCs w:val="24"/>
          <w:lang w:eastAsia="en-US"/>
        </w:rPr>
        <w:t>Corresponding Authors</w:t>
      </w:r>
    </w:p>
    <w:p w14:paraId="42DAAFD0" w14:textId="77777777" w:rsidR="000F3761" w:rsidRDefault="00AB3A62">
      <w:pPr>
        <w:spacing w:line="480" w:lineRule="auto"/>
        <w:jc w:val="left"/>
        <w:rPr>
          <w:rFonts w:ascii="Times New Roman" w:eastAsia="黑体" w:hAnsi="Times New Roman" w:cs="Times New Roman"/>
          <w:bCs/>
          <w:kern w:val="0"/>
          <w:sz w:val="24"/>
          <w:szCs w:val="24"/>
          <w:lang w:eastAsia="en-US"/>
        </w:rPr>
      </w:pPr>
      <w:r>
        <w:rPr>
          <w:rFonts w:ascii="Times New Roman" w:eastAsia="黑体" w:hAnsi="Times New Roman" w:cs="Times New Roman"/>
          <w:b/>
          <w:kern w:val="0"/>
          <w:sz w:val="24"/>
          <w:szCs w:val="24"/>
          <w:lang w:eastAsia="en-US"/>
        </w:rPr>
        <w:t>Haodong Ji-</w:t>
      </w:r>
      <w:r>
        <w:t xml:space="preserve"> </w:t>
      </w:r>
      <w:r>
        <w:rPr>
          <w:rFonts w:ascii="Times New Roman" w:eastAsia="黑体" w:hAnsi="Times New Roman" w:cs="Times New Roman"/>
          <w:bCs/>
          <w:i/>
          <w:iCs/>
          <w:kern w:val="0"/>
          <w:sz w:val="24"/>
          <w:szCs w:val="24"/>
          <w:lang w:eastAsia="en-US"/>
        </w:rPr>
        <w:t xml:space="preserve">Eco-environment and Resource Efficiency Research Laboratory, School </w:t>
      </w:r>
      <w:r>
        <w:rPr>
          <w:rFonts w:ascii="Times New Roman" w:eastAsia="黑体" w:hAnsi="Times New Roman" w:cs="Times New Roman"/>
          <w:bCs/>
          <w:i/>
          <w:iCs/>
          <w:kern w:val="0"/>
          <w:sz w:val="24"/>
          <w:szCs w:val="24"/>
          <w:lang w:eastAsia="en-US"/>
        </w:rPr>
        <w:lastRenderedPageBreak/>
        <w:t xml:space="preserve">of Environment and Energy, Peking University Shenzhen Graduate School, Shenzhen, 518055, PR China; orcid.org/0000-0002-7804-798X; </w:t>
      </w:r>
      <w:r>
        <w:rPr>
          <w:rFonts w:ascii="Times New Roman" w:eastAsia="黑体" w:hAnsi="Times New Roman" w:cs="Times New Roman"/>
          <w:bCs/>
          <w:kern w:val="0"/>
          <w:sz w:val="24"/>
          <w:szCs w:val="24"/>
          <w:lang w:eastAsia="en-US"/>
        </w:rPr>
        <w:t>Email: jihaodong@pku.edu.cn</w:t>
      </w:r>
    </w:p>
    <w:p w14:paraId="5A978E4A" w14:textId="77777777" w:rsidR="000F3761" w:rsidRDefault="000F3761">
      <w:pPr>
        <w:spacing w:line="480" w:lineRule="auto"/>
        <w:jc w:val="left"/>
        <w:rPr>
          <w:rFonts w:ascii="Times New Roman" w:hAnsi="Times New Roman"/>
          <w:i/>
          <w:iCs/>
          <w:sz w:val="24"/>
          <w:szCs w:val="24"/>
        </w:rPr>
      </w:pPr>
    </w:p>
    <w:p w14:paraId="033A818E" w14:textId="77777777" w:rsidR="000F3761" w:rsidRDefault="00AB3A62">
      <w:pPr>
        <w:spacing w:line="480" w:lineRule="auto"/>
        <w:jc w:val="left"/>
        <w:rPr>
          <w:rFonts w:ascii="Times New Roman" w:eastAsia="黑体" w:hAnsi="Times New Roman" w:cs="Times New Roman"/>
          <w:b/>
          <w:kern w:val="0"/>
          <w:sz w:val="24"/>
          <w:szCs w:val="24"/>
          <w:lang w:eastAsia="en-US"/>
        </w:rPr>
      </w:pPr>
      <w:r>
        <w:rPr>
          <w:rFonts w:ascii="Times New Roman" w:eastAsia="黑体" w:hAnsi="Times New Roman" w:cs="Times New Roman"/>
          <w:b/>
          <w:kern w:val="0"/>
          <w:sz w:val="24"/>
          <w:szCs w:val="24"/>
          <w:lang w:eastAsia="en-US"/>
        </w:rPr>
        <w:t>Authors</w:t>
      </w:r>
    </w:p>
    <w:p w14:paraId="7688E1CD" w14:textId="77777777" w:rsidR="000F3761" w:rsidRDefault="00AB3A62">
      <w:pPr>
        <w:spacing w:line="480" w:lineRule="auto"/>
        <w:jc w:val="left"/>
        <w:rPr>
          <w:rFonts w:ascii="Times New Roman" w:eastAsia="黑体" w:hAnsi="Times New Roman" w:cs="Times New Roman"/>
          <w:bCs/>
          <w:i/>
          <w:iCs/>
          <w:kern w:val="0"/>
          <w:sz w:val="24"/>
          <w:szCs w:val="24"/>
          <w:lang w:eastAsia="en-US"/>
        </w:rPr>
      </w:pPr>
      <w:r>
        <w:rPr>
          <w:rFonts w:ascii="Times New Roman" w:eastAsia="黑体" w:hAnsi="Times New Roman" w:cs="Times New Roman"/>
          <w:b/>
          <w:kern w:val="0"/>
          <w:sz w:val="24"/>
          <w:szCs w:val="24"/>
        </w:rPr>
        <w:t>Wufan Ding</w:t>
      </w:r>
      <w:r>
        <w:rPr>
          <w:rFonts w:ascii="Times New Roman" w:eastAsia="黑体" w:hAnsi="Times New Roman" w:cs="Times New Roman"/>
          <w:b/>
          <w:kern w:val="0"/>
          <w:sz w:val="24"/>
          <w:szCs w:val="24"/>
          <w:lang w:eastAsia="en-US"/>
        </w:rPr>
        <w:t>-</w:t>
      </w:r>
      <w:r>
        <w:t xml:space="preserve"> </w:t>
      </w:r>
      <w:r>
        <w:rPr>
          <w:rFonts w:ascii="Times New Roman" w:eastAsia="黑体" w:hAnsi="Times New Roman" w:cs="Times New Roman"/>
          <w:bCs/>
          <w:i/>
          <w:iCs/>
          <w:kern w:val="0"/>
          <w:sz w:val="24"/>
          <w:szCs w:val="24"/>
          <w:lang w:eastAsia="en-US"/>
        </w:rPr>
        <w:t>Eco-envir</w:t>
      </w:r>
      <w:r>
        <w:rPr>
          <w:rFonts w:ascii="Times New Roman" w:eastAsia="黑体" w:hAnsi="Times New Roman" w:cs="Times New Roman"/>
          <w:bCs/>
          <w:i/>
          <w:iCs/>
          <w:kern w:val="0"/>
          <w:sz w:val="24"/>
          <w:szCs w:val="24"/>
          <w:lang w:eastAsia="en-US"/>
        </w:rPr>
        <w:t>onment and Resource Efficiency Research Laboratory, School of Environment and Energy, Peking University Shenzhen Graduate School, Shenzhen, 518055, PR China;</w:t>
      </w:r>
    </w:p>
    <w:p w14:paraId="7C4B5EAC" w14:textId="4346222A" w:rsidR="000F3761" w:rsidRDefault="00AB3A62">
      <w:pPr>
        <w:spacing w:line="480" w:lineRule="auto"/>
        <w:jc w:val="left"/>
        <w:rPr>
          <w:rFonts w:ascii="Times New Roman" w:eastAsia="黑体" w:hAnsi="Times New Roman" w:cs="Times New Roman"/>
          <w:bCs/>
          <w:i/>
          <w:iCs/>
          <w:kern w:val="0"/>
          <w:sz w:val="24"/>
          <w:szCs w:val="24"/>
        </w:rPr>
      </w:pPr>
      <w:r>
        <w:rPr>
          <w:rFonts w:ascii="Times New Roman" w:eastAsia="黑体" w:hAnsi="Times New Roman" w:cs="Times New Roman"/>
          <w:b/>
          <w:kern w:val="0"/>
          <w:sz w:val="24"/>
          <w:szCs w:val="24"/>
          <w:lang w:val="de-DE" w:eastAsia="en-US"/>
        </w:rPr>
        <w:t>A</w:t>
      </w:r>
      <w:r>
        <w:rPr>
          <w:rFonts w:ascii="Times New Roman" w:eastAsia="黑体" w:hAnsi="Times New Roman" w:cs="Times New Roman" w:hint="eastAsia"/>
          <w:b/>
          <w:kern w:val="0"/>
          <w:sz w:val="24"/>
          <w:szCs w:val="24"/>
          <w:lang w:val="de-DE" w:eastAsia="en-US"/>
        </w:rPr>
        <w:t xml:space="preserve">ofan </w:t>
      </w:r>
      <w:r>
        <w:rPr>
          <w:rFonts w:ascii="Times New Roman" w:eastAsia="黑体" w:hAnsi="Times New Roman" w:cs="Times New Roman"/>
          <w:b/>
          <w:kern w:val="0"/>
          <w:sz w:val="24"/>
          <w:szCs w:val="24"/>
          <w:lang w:val="de-DE" w:eastAsia="en-US"/>
        </w:rPr>
        <w:t>L</w:t>
      </w:r>
      <w:r>
        <w:rPr>
          <w:rFonts w:ascii="Times New Roman" w:eastAsia="黑体" w:hAnsi="Times New Roman" w:cs="Times New Roman" w:hint="eastAsia"/>
          <w:b/>
          <w:kern w:val="0"/>
          <w:sz w:val="24"/>
          <w:szCs w:val="24"/>
          <w:lang w:val="de-DE" w:eastAsia="en-US"/>
        </w:rPr>
        <w:t>iu</w:t>
      </w:r>
      <w:r>
        <w:rPr>
          <w:rFonts w:ascii="Times New Roman" w:eastAsia="黑体" w:hAnsi="Times New Roman" w:cs="Times New Roman" w:hint="eastAsia"/>
          <w:b/>
          <w:kern w:val="0"/>
          <w:sz w:val="24"/>
          <w:szCs w:val="24"/>
        </w:rPr>
        <w:t>-</w:t>
      </w:r>
      <w:r w:rsidR="0039535D" w:rsidRPr="0039535D">
        <w:rPr>
          <w:rFonts w:ascii="Times New Roman" w:eastAsia="黑体" w:hAnsi="Times New Roman" w:cs="Times New Roman"/>
          <w:bCs/>
          <w:i/>
          <w:iCs/>
          <w:kern w:val="0"/>
          <w:sz w:val="24"/>
          <w:szCs w:val="24"/>
        </w:rPr>
        <w:t xml:space="preserve"> </w:t>
      </w:r>
      <w:r w:rsidR="0039535D" w:rsidRPr="0039535D">
        <w:rPr>
          <w:rFonts w:ascii="Times New Roman" w:eastAsia="黑体" w:hAnsi="Times New Roman" w:cs="Times New Roman"/>
          <w:bCs/>
          <w:i/>
          <w:iCs/>
          <w:kern w:val="0"/>
          <w:sz w:val="24"/>
          <w:szCs w:val="24"/>
        </w:rPr>
        <w:t>Shenzhen Key Lab of Information theory &amp; Future Internet architecture</w:t>
      </w:r>
      <w:r w:rsidR="0039535D">
        <w:rPr>
          <w:rFonts w:ascii="Times New Roman" w:eastAsia="黑体" w:hAnsi="Times New Roman" w:cs="Times New Roman"/>
          <w:bCs/>
          <w:i/>
          <w:iCs/>
          <w:kern w:val="0"/>
          <w:sz w:val="24"/>
          <w:szCs w:val="24"/>
        </w:rPr>
        <w:t xml:space="preserve">, </w:t>
      </w:r>
      <w:r w:rsidR="0039535D" w:rsidRPr="0039535D">
        <w:rPr>
          <w:rFonts w:ascii="Times New Roman" w:eastAsia="黑体" w:hAnsi="Times New Roman" w:cs="Times New Roman"/>
          <w:bCs/>
          <w:i/>
          <w:iCs/>
          <w:kern w:val="0"/>
          <w:sz w:val="24"/>
          <w:szCs w:val="24"/>
        </w:rPr>
        <w:t>School of Information Engineering</w:t>
      </w:r>
      <w:r w:rsidR="0039535D">
        <w:rPr>
          <w:rFonts w:ascii="Times New Roman" w:eastAsia="黑体" w:hAnsi="Times New Roman" w:cs="Times New Roman" w:hint="eastAsia"/>
          <w:bCs/>
          <w:i/>
          <w:iCs/>
          <w:kern w:val="0"/>
          <w:sz w:val="24"/>
          <w:szCs w:val="24"/>
        </w:rPr>
        <w:t>,</w:t>
      </w:r>
      <w:r w:rsidR="0039535D">
        <w:rPr>
          <w:rFonts w:ascii="Times New Roman" w:eastAsia="黑体" w:hAnsi="Times New Roman" w:cs="Times New Roman"/>
          <w:bCs/>
          <w:i/>
          <w:iCs/>
          <w:kern w:val="0"/>
          <w:sz w:val="24"/>
          <w:szCs w:val="24"/>
        </w:rPr>
        <w:t xml:space="preserve"> </w:t>
      </w:r>
      <w:r>
        <w:rPr>
          <w:rFonts w:ascii="Times New Roman" w:eastAsia="黑体" w:hAnsi="Times New Roman" w:cs="Times New Roman"/>
          <w:bCs/>
          <w:kern w:val="0"/>
          <w:sz w:val="24"/>
          <w:szCs w:val="24"/>
        </w:rPr>
        <w:t>P</w:t>
      </w:r>
      <w:r>
        <w:rPr>
          <w:rFonts w:ascii="Times New Roman" w:eastAsia="黑体" w:hAnsi="Times New Roman" w:cs="Times New Roman"/>
          <w:bCs/>
          <w:i/>
          <w:iCs/>
          <w:kern w:val="0"/>
          <w:sz w:val="24"/>
          <w:szCs w:val="24"/>
          <w:lang w:eastAsia="en-US"/>
        </w:rPr>
        <w:t>eking University Shenzhen Graduate School, Shenzhen, 518055, PR China.</w:t>
      </w:r>
      <w:r w:rsidR="0039535D">
        <w:rPr>
          <w:rFonts w:ascii="Times New Roman" w:eastAsia="黑体" w:hAnsi="Times New Roman" w:cs="Times New Roman"/>
          <w:bCs/>
          <w:i/>
          <w:iCs/>
          <w:kern w:val="0"/>
          <w:sz w:val="24"/>
          <w:szCs w:val="24"/>
        </w:rPr>
        <w:t xml:space="preserve">  </w:t>
      </w:r>
    </w:p>
    <w:p w14:paraId="727BDE4C" w14:textId="77777777" w:rsidR="000F3761" w:rsidRDefault="00AB3A62">
      <w:pPr>
        <w:spacing w:line="480" w:lineRule="auto"/>
        <w:jc w:val="left"/>
        <w:rPr>
          <w:rFonts w:ascii="Times New Roman" w:eastAsia="黑体" w:hAnsi="Times New Roman" w:cs="Times New Roman"/>
          <w:bCs/>
          <w:i/>
          <w:iCs/>
          <w:kern w:val="0"/>
          <w:sz w:val="24"/>
          <w:szCs w:val="24"/>
          <w:lang w:eastAsia="en-US"/>
        </w:rPr>
      </w:pPr>
      <w:r>
        <w:rPr>
          <w:rFonts w:ascii="Times New Roman" w:eastAsia="黑体" w:hAnsi="Times New Roman" w:cs="Times New Roman"/>
          <w:b/>
          <w:kern w:val="0"/>
          <w:sz w:val="24"/>
          <w:szCs w:val="24"/>
          <w:lang w:eastAsia="en-US"/>
        </w:rPr>
        <w:t xml:space="preserve">Zhengkai </w:t>
      </w:r>
      <w:r>
        <w:rPr>
          <w:rFonts w:ascii="Times New Roman" w:eastAsia="黑体" w:hAnsi="Times New Roman" w:cs="Times New Roman"/>
          <w:b/>
          <w:kern w:val="0"/>
          <w:sz w:val="24"/>
          <w:szCs w:val="24"/>
          <w:lang w:eastAsia="en-US"/>
        </w:rPr>
        <w:t>Chen-</w:t>
      </w:r>
      <w:r>
        <w:rPr>
          <w:rFonts w:ascii="等线" w:eastAsia="等线" w:hAnsi="等线" w:cs="Times New Roman"/>
        </w:rPr>
        <w:t xml:space="preserve"> </w:t>
      </w:r>
      <w:r>
        <w:rPr>
          <w:rFonts w:ascii="Times New Roman" w:eastAsia="黑体" w:hAnsi="Times New Roman" w:cs="Times New Roman"/>
          <w:bCs/>
          <w:i/>
          <w:iCs/>
          <w:kern w:val="0"/>
          <w:sz w:val="24"/>
          <w:szCs w:val="24"/>
          <w:lang w:eastAsia="en-US"/>
        </w:rPr>
        <w:t>Eco-environment and Resource Efficiency Research Laboratory, School of Environment and Energy, Peking University Shenzhen Graduate School, Shenzhen, 518055, PR China.</w:t>
      </w:r>
    </w:p>
    <w:p w14:paraId="150C0685" w14:textId="77777777" w:rsidR="000F3761" w:rsidRDefault="000F3761">
      <w:pPr>
        <w:spacing w:line="480" w:lineRule="auto"/>
        <w:jc w:val="left"/>
        <w:rPr>
          <w:rFonts w:ascii="Times New Roman" w:eastAsia="黑体" w:hAnsi="Times New Roman" w:cs="Times New Roman"/>
          <w:b/>
          <w:kern w:val="0"/>
          <w:sz w:val="24"/>
          <w:szCs w:val="24"/>
          <w:lang w:eastAsia="en-US"/>
        </w:rPr>
      </w:pPr>
    </w:p>
    <w:p w14:paraId="0962C801" w14:textId="77777777" w:rsidR="000F3761" w:rsidRDefault="00AB3A62">
      <w:pPr>
        <w:spacing w:line="480" w:lineRule="auto"/>
        <w:jc w:val="left"/>
        <w:rPr>
          <w:rFonts w:ascii="Times New Roman" w:eastAsia="黑体" w:hAnsi="Times New Roman" w:cs="Times New Roman"/>
          <w:b/>
          <w:kern w:val="0"/>
          <w:sz w:val="24"/>
          <w:szCs w:val="24"/>
          <w:lang w:eastAsia="en-US"/>
        </w:rPr>
      </w:pPr>
      <w:r>
        <w:rPr>
          <w:rFonts w:ascii="Times New Roman" w:eastAsia="黑体" w:hAnsi="Times New Roman" w:cs="Times New Roman"/>
          <w:b/>
          <w:kern w:val="0"/>
          <w:sz w:val="24"/>
          <w:szCs w:val="24"/>
          <w:lang w:eastAsia="en-US"/>
        </w:rPr>
        <w:t>Notes</w:t>
      </w:r>
    </w:p>
    <w:p w14:paraId="2D9F7DDF" w14:textId="77777777" w:rsidR="000F3761" w:rsidRDefault="00AB3A62">
      <w:pPr>
        <w:spacing w:line="480" w:lineRule="auto"/>
        <w:rPr>
          <w:rFonts w:ascii="Times New Roman" w:eastAsia="黑体" w:hAnsi="Times New Roman" w:cs="Times New Roman"/>
          <w:kern w:val="0"/>
          <w:sz w:val="24"/>
          <w:szCs w:val="24"/>
          <w:lang w:eastAsia="en-US"/>
        </w:rPr>
      </w:pPr>
      <w:r>
        <w:rPr>
          <w:rFonts w:ascii="Times New Roman" w:eastAsia="黑体" w:hAnsi="Times New Roman" w:cs="Times New Roman"/>
          <w:kern w:val="0"/>
          <w:sz w:val="24"/>
          <w:szCs w:val="24"/>
          <w:lang w:eastAsia="en-US"/>
        </w:rPr>
        <w:t>The authors declare no competing financial interest.</w:t>
      </w:r>
    </w:p>
    <w:p w14:paraId="5AAC8DA1" w14:textId="77777777" w:rsidR="000F3761" w:rsidRDefault="000F3761">
      <w:pPr>
        <w:spacing w:line="480" w:lineRule="auto"/>
        <w:rPr>
          <w:rFonts w:ascii="Calibri" w:eastAsia="宋体" w:hAnsi="Calibri" w:cs="Times New Roman"/>
          <w:lang w:eastAsia="en-US"/>
        </w:rPr>
      </w:pPr>
    </w:p>
    <w:p w14:paraId="28C24D7B" w14:textId="77777777" w:rsidR="000F3761" w:rsidRDefault="00AB3A62">
      <w:pPr>
        <w:widowControl/>
        <w:spacing w:line="480" w:lineRule="auto"/>
        <w:jc w:val="left"/>
        <w:rPr>
          <w:rFonts w:ascii="Times New Roman" w:eastAsia="宋体" w:hAnsi="Times New Roman" w:cs="Times New Roman"/>
          <w:b/>
          <w:kern w:val="0"/>
          <w:sz w:val="24"/>
          <w:szCs w:val="24"/>
          <w:lang w:val="en-GB"/>
        </w:rPr>
      </w:pPr>
      <w:r>
        <w:rPr>
          <w:rFonts w:ascii="Times New Roman" w:eastAsia="宋体" w:hAnsi="Times New Roman" w:cs="Times New Roman"/>
          <w:b/>
          <w:kern w:val="0"/>
          <w:sz w:val="24"/>
          <w:szCs w:val="24"/>
          <w:lang w:val="en-GB"/>
        </w:rPr>
        <w:t>ACKNOWLEDGEMENTS</w:t>
      </w:r>
    </w:p>
    <w:p w14:paraId="4123220E" w14:textId="77777777" w:rsidR="000F3761" w:rsidRDefault="00AB3A62">
      <w:pPr>
        <w:spacing w:line="480" w:lineRule="auto"/>
        <w:rPr>
          <w:rFonts w:ascii="Times New Roman" w:eastAsia="等线" w:hAnsi="Times New Roman" w:cs="Times New Roman"/>
          <w:sz w:val="32"/>
          <w:szCs w:val="24"/>
        </w:rPr>
      </w:pPr>
      <w:r>
        <w:rPr>
          <w:rFonts w:ascii="Times New Roman" w:hAnsi="Times New Roman" w:cs="Times New Roman"/>
          <w:bCs/>
          <w:sz w:val="24"/>
        </w:rPr>
        <w:t>This work has been supported by the National Natural Science Foundation of China (No. 52100069), the Shenzhen Science and Technology Program (JCYJ20220531093205013).</w:t>
      </w:r>
    </w:p>
    <w:p w14:paraId="7BDE39AA" w14:textId="77777777" w:rsidR="000F3761" w:rsidRDefault="00AB3A62">
      <w:pPr>
        <w:widowControl/>
        <w:spacing w:before="240" w:line="480" w:lineRule="auto"/>
        <w:jc w:val="left"/>
        <w:rPr>
          <w:rFonts w:ascii="Times New Roman" w:eastAsia="宋体" w:hAnsi="Times New Roman" w:cs="Times New Roman"/>
          <w:b/>
          <w:kern w:val="0"/>
          <w:sz w:val="24"/>
          <w:szCs w:val="24"/>
          <w:lang w:val="en-GB"/>
        </w:rPr>
      </w:pPr>
      <w:r>
        <w:rPr>
          <w:rFonts w:ascii="Times New Roman" w:eastAsia="宋体" w:hAnsi="Times New Roman" w:cs="Times New Roman"/>
          <w:b/>
          <w:kern w:val="0"/>
          <w:sz w:val="24"/>
          <w:szCs w:val="24"/>
          <w:lang w:val="en-GB"/>
        </w:rPr>
        <w:t>REFERENCES</w:t>
      </w:r>
    </w:p>
    <w:p w14:paraId="17573302" w14:textId="77777777" w:rsidR="000F3761" w:rsidRDefault="00AB3A62">
      <w:pPr>
        <w:pStyle w:val="Bibliography1"/>
        <w:rPr>
          <w:rFonts w:ascii="Times New Roman" w:hAnsi="Times New Roman" w:cs="Times New Roman"/>
          <w:sz w:val="24"/>
        </w:rPr>
      </w:pPr>
      <w:r>
        <w:rPr>
          <w:rFonts w:eastAsia="宋体"/>
          <w:b/>
          <w:lang w:val="en-GB"/>
        </w:rPr>
        <w:lastRenderedPageBreak/>
        <w:fldChar w:fldCharType="begin"/>
      </w:r>
      <w:r>
        <w:rPr>
          <w:rFonts w:eastAsia="宋体"/>
          <w:b/>
          <w:lang w:val="en-GB"/>
        </w:rPr>
        <w:instrText xml:space="preserve"> ADDIN ZOTERO_BIBL {"uncited":[],"omitted":[],"custom":[]} CSL</w:instrText>
      </w:r>
      <w:r>
        <w:rPr>
          <w:rFonts w:eastAsia="宋体"/>
          <w:b/>
          <w:lang w:val="en-GB"/>
        </w:rPr>
        <w:instrText xml:space="preserve">_BIBLIOGRAPHY </w:instrText>
      </w:r>
      <w:r>
        <w:rPr>
          <w:rFonts w:eastAsia="宋体"/>
          <w:b/>
          <w:lang w:val="en-GB"/>
        </w:rPr>
        <w:fldChar w:fldCharType="separate"/>
      </w:r>
      <w:r>
        <w:rPr>
          <w:rFonts w:ascii="Times New Roman" w:hAnsi="Times New Roman" w:cs="Times New Roman"/>
          <w:sz w:val="24"/>
        </w:rPr>
        <w:t>(1)</w:t>
      </w:r>
      <w:r>
        <w:rPr>
          <w:rFonts w:ascii="Times New Roman" w:hAnsi="Times New Roman" w:cs="Times New Roman"/>
          <w:sz w:val="24"/>
        </w:rPr>
        <w:tab/>
        <w:t xml:space="preserve">Glüge, J.; Scheringer, M.; Cousins, I. T.; DeWitt, J. C.; Goldenman, G.; Herzke, D.; Lohmann, R.; Ng, C. A.; Trier, X.; Wang, Z. An Overview of the Uses of Per- and Polyfluoroalkyl Substances (PFAS). </w:t>
      </w:r>
      <w:r>
        <w:rPr>
          <w:rFonts w:ascii="Times New Roman" w:hAnsi="Times New Roman" w:cs="Times New Roman"/>
          <w:i/>
          <w:iCs/>
          <w:sz w:val="24"/>
        </w:rPr>
        <w:t>Environ. Sci. Process. Impacts</w:t>
      </w:r>
      <w:r>
        <w:rPr>
          <w:rFonts w:ascii="Times New Roman" w:hAnsi="Times New Roman" w:cs="Times New Roman"/>
          <w:sz w:val="24"/>
        </w:rPr>
        <w:t xml:space="preserve"> </w:t>
      </w:r>
      <w:r>
        <w:rPr>
          <w:rFonts w:ascii="Times New Roman" w:hAnsi="Times New Roman" w:cs="Times New Roman"/>
          <w:b/>
          <w:bCs/>
          <w:sz w:val="24"/>
        </w:rPr>
        <w:t>2020</w:t>
      </w:r>
      <w:r>
        <w:rPr>
          <w:rFonts w:ascii="Times New Roman" w:hAnsi="Times New Roman" w:cs="Times New Roman"/>
          <w:sz w:val="24"/>
        </w:rPr>
        <w:t xml:space="preserve">, </w:t>
      </w:r>
      <w:r>
        <w:rPr>
          <w:rFonts w:ascii="Times New Roman" w:hAnsi="Times New Roman" w:cs="Times New Roman"/>
          <w:i/>
          <w:iCs/>
          <w:sz w:val="24"/>
        </w:rPr>
        <w:t>2</w:t>
      </w:r>
      <w:r>
        <w:rPr>
          <w:rFonts w:ascii="Times New Roman" w:hAnsi="Times New Roman" w:cs="Times New Roman"/>
          <w:i/>
          <w:iCs/>
          <w:sz w:val="24"/>
        </w:rPr>
        <w:t>2</w:t>
      </w:r>
      <w:r>
        <w:rPr>
          <w:rFonts w:ascii="Times New Roman" w:hAnsi="Times New Roman" w:cs="Times New Roman"/>
          <w:sz w:val="24"/>
        </w:rPr>
        <w:t xml:space="preserve"> (12), 2345–2373. https://doi.org/10.1039/D0EM00291G.</w:t>
      </w:r>
    </w:p>
    <w:p w14:paraId="074C9E22"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 xml:space="preserve">Ghisi, R.; Vamerali, T.; Manzetti, S. Accumulation of Perfluorinated Alkyl Substances (PFAS) in Agricultural Plants: A Review. </w:t>
      </w:r>
      <w:r>
        <w:rPr>
          <w:rFonts w:ascii="Times New Roman" w:hAnsi="Times New Roman" w:cs="Times New Roman"/>
          <w:i/>
          <w:iCs/>
          <w:sz w:val="24"/>
        </w:rPr>
        <w:t>Environ. Res.</w:t>
      </w:r>
      <w:r>
        <w:rPr>
          <w:rFonts w:ascii="Times New Roman" w:hAnsi="Times New Roman" w:cs="Times New Roman"/>
          <w:sz w:val="24"/>
        </w:rPr>
        <w:t xml:space="preserve"> </w:t>
      </w:r>
      <w:r>
        <w:rPr>
          <w:rFonts w:ascii="Times New Roman" w:hAnsi="Times New Roman" w:cs="Times New Roman"/>
          <w:b/>
          <w:bCs/>
          <w:sz w:val="24"/>
        </w:rPr>
        <w:t>2019</w:t>
      </w:r>
      <w:r>
        <w:rPr>
          <w:rFonts w:ascii="Times New Roman" w:hAnsi="Times New Roman" w:cs="Times New Roman"/>
          <w:sz w:val="24"/>
        </w:rPr>
        <w:t xml:space="preserve">, </w:t>
      </w:r>
      <w:r>
        <w:rPr>
          <w:rFonts w:ascii="Times New Roman" w:hAnsi="Times New Roman" w:cs="Times New Roman"/>
          <w:i/>
          <w:iCs/>
          <w:sz w:val="24"/>
        </w:rPr>
        <w:t>169</w:t>
      </w:r>
      <w:r>
        <w:rPr>
          <w:rFonts w:ascii="Times New Roman" w:hAnsi="Times New Roman" w:cs="Times New Roman"/>
          <w:sz w:val="24"/>
        </w:rPr>
        <w:t>, 326–341. https://doi.org/10.1016/j.envres.201</w:t>
      </w:r>
      <w:r>
        <w:rPr>
          <w:rFonts w:ascii="Times New Roman" w:hAnsi="Times New Roman" w:cs="Times New Roman"/>
          <w:sz w:val="24"/>
        </w:rPr>
        <w:t>8.10.023.</w:t>
      </w:r>
    </w:p>
    <w:p w14:paraId="215B3FFE"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 xml:space="preserve">Rücker, C.; Kümmerer, K. Modeling and Predicting Aquatic Aerobic Biodegradation – a Review from a User’s Perspective. </w:t>
      </w:r>
      <w:r>
        <w:rPr>
          <w:rFonts w:ascii="Times New Roman" w:hAnsi="Times New Roman" w:cs="Times New Roman"/>
          <w:i/>
          <w:iCs/>
          <w:sz w:val="24"/>
        </w:rPr>
        <w:t>Green Chem.</w:t>
      </w:r>
      <w:r>
        <w:rPr>
          <w:rFonts w:ascii="Times New Roman" w:hAnsi="Times New Roman" w:cs="Times New Roman"/>
          <w:sz w:val="24"/>
        </w:rPr>
        <w:t xml:space="preserve"> </w:t>
      </w:r>
      <w:r>
        <w:rPr>
          <w:rFonts w:ascii="Times New Roman" w:hAnsi="Times New Roman" w:cs="Times New Roman"/>
          <w:b/>
          <w:bCs/>
          <w:sz w:val="24"/>
        </w:rPr>
        <w:t>2012</w:t>
      </w:r>
      <w:r>
        <w:rPr>
          <w:rFonts w:ascii="Times New Roman" w:hAnsi="Times New Roman" w:cs="Times New Roman"/>
          <w:sz w:val="24"/>
        </w:rPr>
        <w:t xml:space="preserve">, </w:t>
      </w:r>
      <w:r>
        <w:rPr>
          <w:rFonts w:ascii="Times New Roman" w:hAnsi="Times New Roman" w:cs="Times New Roman"/>
          <w:i/>
          <w:iCs/>
          <w:sz w:val="24"/>
        </w:rPr>
        <w:t>14</w:t>
      </w:r>
      <w:r>
        <w:rPr>
          <w:rFonts w:ascii="Times New Roman" w:hAnsi="Times New Roman" w:cs="Times New Roman"/>
          <w:sz w:val="24"/>
        </w:rPr>
        <w:t xml:space="preserve"> (4), 875. https://doi.org/10.1039/c2gc16267a.</w:t>
      </w:r>
    </w:p>
    <w:p w14:paraId="44B2AB3F"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Kowalczyk, A.; Martin, T. J.; Price, O. R.; Snape, J.</w:t>
      </w:r>
      <w:r>
        <w:rPr>
          <w:rFonts w:ascii="Times New Roman" w:hAnsi="Times New Roman" w:cs="Times New Roman"/>
          <w:sz w:val="24"/>
        </w:rPr>
        <w:t xml:space="preserve"> R.; Van Egmond, R. A.; Finnegan, C. J.; Schäfer, H.; Davenport, R. J.; Bending, G. D. Refinement of Biodegradation Tests Methodologies and the Proposed Utility of New Microbial Ecology Techniques. </w:t>
      </w:r>
      <w:r>
        <w:rPr>
          <w:rFonts w:ascii="Times New Roman" w:hAnsi="Times New Roman" w:cs="Times New Roman"/>
          <w:i/>
          <w:iCs/>
          <w:sz w:val="24"/>
        </w:rPr>
        <w:t>Ecotoxicol. Environ. Saf.</w:t>
      </w:r>
      <w:r>
        <w:rPr>
          <w:rFonts w:ascii="Times New Roman" w:hAnsi="Times New Roman" w:cs="Times New Roman"/>
          <w:sz w:val="24"/>
        </w:rPr>
        <w:t xml:space="preserve"> </w:t>
      </w:r>
      <w:r>
        <w:rPr>
          <w:rFonts w:ascii="Times New Roman" w:hAnsi="Times New Roman" w:cs="Times New Roman"/>
          <w:b/>
          <w:bCs/>
          <w:sz w:val="24"/>
        </w:rPr>
        <w:t>2015</w:t>
      </w:r>
      <w:r>
        <w:rPr>
          <w:rFonts w:ascii="Times New Roman" w:hAnsi="Times New Roman" w:cs="Times New Roman"/>
          <w:sz w:val="24"/>
        </w:rPr>
        <w:t xml:space="preserve">, </w:t>
      </w:r>
      <w:r>
        <w:rPr>
          <w:rFonts w:ascii="Times New Roman" w:hAnsi="Times New Roman" w:cs="Times New Roman"/>
          <w:i/>
          <w:iCs/>
          <w:sz w:val="24"/>
        </w:rPr>
        <w:t>111</w:t>
      </w:r>
      <w:r>
        <w:rPr>
          <w:rFonts w:ascii="Times New Roman" w:hAnsi="Times New Roman" w:cs="Times New Roman"/>
          <w:sz w:val="24"/>
        </w:rPr>
        <w:t>, 9–22. https://doi.org</w:t>
      </w:r>
      <w:r>
        <w:rPr>
          <w:rFonts w:ascii="Times New Roman" w:hAnsi="Times New Roman" w:cs="Times New Roman"/>
          <w:sz w:val="24"/>
        </w:rPr>
        <w:t>/10.1016/j.ecoenv.2014.09.021.</w:t>
      </w:r>
    </w:p>
    <w:p w14:paraId="15605DAA"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r>
      <w:r>
        <w:rPr>
          <w:rFonts w:ascii="Times New Roman" w:hAnsi="Times New Roman" w:cs="Times New Roman"/>
          <w:sz w:val="24"/>
        </w:rPr>
        <w:t xml:space="preserve">Wang, Y.; Lai, A.; Latino, D.; Fenner, K.; Helbling, D. E. Evaluating the Environmental Parameters That Determine Aerobic Biodegradation Half-Lives of Pesticides in Soil with a Multivariable Approach. </w:t>
      </w:r>
      <w:r>
        <w:rPr>
          <w:rFonts w:ascii="Times New Roman" w:hAnsi="Times New Roman" w:cs="Times New Roman"/>
          <w:i/>
          <w:iCs/>
          <w:sz w:val="24"/>
        </w:rPr>
        <w:t>Chemosphere</w:t>
      </w:r>
      <w:r>
        <w:rPr>
          <w:rFonts w:ascii="Times New Roman" w:hAnsi="Times New Roman" w:cs="Times New Roman"/>
          <w:sz w:val="24"/>
        </w:rPr>
        <w:t xml:space="preserve"> </w:t>
      </w:r>
      <w:r>
        <w:rPr>
          <w:rFonts w:ascii="Times New Roman" w:hAnsi="Times New Roman" w:cs="Times New Roman"/>
          <w:b/>
          <w:bCs/>
          <w:sz w:val="24"/>
        </w:rPr>
        <w:t>2018</w:t>
      </w:r>
      <w:r>
        <w:rPr>
          <w:rFonts w:ascii="Times New Roman" w:hAnsi="Times New Roman" w:cs="Times New Roman"/>
          <w:sz w:val="24"/>
        </w:rPr>
        <w:t xml:space="preserve">, </w:t>
      </w:r>
      <w:r>
        <w:rPr>
          <w:rFonts w:ascii="Times New Roman" w:hAnsi="Times New Roman" w:cs="Times New Roman"/>
          <w:i/>
          <w:iCs/>
          <w:sz w:val="24"/>
        </w:rPr>
        <w:t>209</w:t>
      </w:r>
      <w:r>
        <w:rPr>
          <w:rFonts w:ascii="Times New Roman" w:hAnsi="Times New Roman" w:cs="Times New Roman"/>
          <w:sz w:val="24"/>
        </w:rPr>
        <w:t>, 430–438. https://doi.org/10.1016</w:t>
      </w:r>
      <w:r>
        <w:rPr>
          <w:rFonts w:ascii="Times New Roman" w:hAnsi="Times New Roman" w:cs="Times New Roman"/>
          <w:sz w:val="24"/>
        </w:rPr>
        <w:t>/j.chemosphere.2018.06.077.</w:t>
      </w:r>
    </w:p>
    <w:p w14:paraId="2CF60B11"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 xml:space="preserve">Zhong, S.; Zhang, K.; Bagheri, M.; Burken, J. G.; Gu, A.; Li, B.; Ma, X.; Marrone, B. L.; Ren, Z. J.; Schrier, J.; Shi, W.; Tan, H.; Wang, T.; Wang, X.; Wong, B. M.; Xiao, X.; Yu, X.; Zhu, J.-J.; Zhang, H. Machine Learning: </w:t>
      </w:r>
      <w:r>
        <w:rPr>
          <w:rFonts w:ascii="Times New Roman" w:hAnsi="Times New Roman" w:cs="Times New Roman"/>
          <w:sz w:val="24"/>
        </w:rPr>
        <w:t xml:space="preserve">New Ideas and Tools in Environmental Science and Engineering. </w:t>
      </w:r>
      <w:r>
        <w:rPr>
          <w:rFonts w:ascii="Times New Roman" w:hAnsi="Times New Roman" w:cs="Times New Roman"/>
          <w:i/>
          <w:iCs/>
          <w:sz w:val="24"/>
        </w:rPr>
        <w:t>Environ. Sci. Technol.</w:t>
      </w:r>
      <w:r>
        <w:rPr>
          <w:rFonts w:ascii="Times New Roman" w:hAnsi="Times New Roman" w:cs="Times New Roman"/>
          <w:sz w:val="24"/>
        </w:rPr>
        <w:t xml:space="preserve"> </w:t>
      </w:r>
      <w:r>
        <w:rPr>
          <w:rFonts w:ascii="Times New Roman" w:hAnsi="Times New Roman" w:cs="Times New Roman"/>
          <w:b/>
          <w:bCs/>
          <w:sz w:val="24"/>
        </w:rPr>
        <w:t>2021</w:t>
      </w:r>
      <w:r>
        <w:rPr>
          <w:rFonts w:ascii="Times New Roman" w:hAnsi="Times New Roman" w:cs="Times New Roman"/>
          <w:sz w:val="24"/>
        </w:rPr>
        <w:t>, acs.est.1c01339. https://doi.org/10.1021/acs.est.1c01339.</w:t>
      </w:r>
    </w:p>
    <w:p w14:paraId="76134983"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t xml:space="preserve">Bommasani, R.; Hudson, D. A.; Adeli, E.; Altman, R.; Arora, S.; von Arx, S.; Bernstein, M. S.; </w:t>
      </w:r>
      <w:r>
        <w:rPr>
          <w:rFonts w:ascii="Times New Roman" w:hAnsi="Times New Roman" w:cs="Times New Roman"/>
          <w:sz w:val="24"/>
        </w:rPr>
        <w:t>Bohg, J.; Bosselut, A.; Brunskill, E.; Brynjolfsson, E.; Buch, S.; Card, D.; Castellon, R.; Chatterji, N.; Chen, A.; Creel, K.; Davis, J. Q.; Demszky, D.; Donahue, C.; Doumbouya, M.; Durmus, E.; Ermon, S.; Etchemendy, J.; Ethayarajh, K.; Fei-Fei, L.; Finn,</w:t>
      </w:r>
      <w:r>
        <w:rPr>
          <w:rFonts w:ascii="Times New Roman" w:hAnsi="Times New Roman" w:cs="Times New Roman"/>
          <w:sz w:val="24"/>
        </w:rPr>
        <w:t xml:space="preserve"> C.; Gale, T.; Gillespie, L.; Goel, K.; Goodman, N.; Grossman, S.; Guha, N.; Hashimoto, T.; Henderson, P.; Hewitt, J.; Ho, D. E.; Hong, J.; Hsu, K.; Huang, J.; Icard, T.; Jain, S.; Jurafsky, D.; Kalluri, P.; Karamcheti, S.; Keeling, G.; Khani, F.; Khattab,</w:t>
      </w:r>
      <w:r>
        <w:rPr>
          <w:rFonts w:ascii="Times New Roman" w:hAnsi="Times New Roman" w:cs="Times New Roman"/>
          <w:sz w:val="24"/>
        </w:rPr>
        <w:t xml:space="preserve"> O.; Koh, P. W.; Krass, M.; Krishna, R.; Kuditipudi, R.; Kumar, A.; Ladhak, F.; Lee, M.; Lee, T.; Leskovec, J.; Levent, I.; Li, X. L.; Li, X.; Ma, T.; Malik, A.; Manning, C. D.; Mirchandani, S.; Mitchell, E.; Munyikwa, Z.; Nair, S.; Narayan, A.; Narayanan,</w:t>
      </w:r>
      <w:r>
        <w:rPr>
          <w:rFonts w:ascii="Times New Roman" w:hAnsi="Times New Roman" w:cs="Times New Roman"/>
          <w:sz w:val="24"/>
        </w:rPr>
        <w:t xml:space="preserve"> D.; Newman, B.; Nie, A.; Niebles, J. C.; Nilforoshan, H.; Nyarko, J.; Ogut, G.; Orr, L.; Papadimitriou, I.; Park, J. S.; Piech, C.; Portelance, E.; Potts, C.; Raghunathan, A.; Reich, R.; Ren, H.; Rong, F.; Roohani, Y.; Ruiz, C.; Ryan, J.; Ré, C.; Sadigh, </w:t>
      </w:r>
      <w:r>
        <w:rPr>
          <w:rFonts w:ascii="Times New Roman" w:hAnsi="Times New Roman" w:cs="Times New Roman"/>
          <w:sz w:val="24"/>
        </w:rPr>
        <w:t>D.; Sagawa, S.; Santhanam, K.; Shih, A.; Srinivasan, K.; Tamkin, A.; Taori, R.; Thomas, A. W.; Tramèr, F.; Wang, R. E.; Wang, W.; Wu, B.; Wu, J.; Wu, Y.; Xie, S. M.; Yasunaga, M.; You, J.; Zaharia, M.; Zhang, M.; Zhang, T.; Zhang, X.; Zhang, Y.; Zheng, L.;</w:t>
      </w:r>
      <w:r>
        <w:rPr>
          <w:rFonts w:ascii="Times New Roman" w:hAnsi="Times New Roman" w:cs="Times New Roman"/>
          <w:sz w:val="24"/>
        </w:rPr>
        <w:t xml:space="preserve"> Zhou, K.; Liang, P. On the Opportunities and Risks of Foundation Models. arXiv July 12, 2022. http://arxiv.org/abs/2108.07258 (accessed 2024-02-24).</w:t>
      </w:r>
    </w:p>
    <w:p w14:paraId="5CF82B96"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lastRenderedPageBreak/>
        <w:t>(8)</w:t>
      </w:r>
      <w:r>
        <w:rPr>
          <w:rFonts w:ascii="Times New Roman" w:hAnsi="Times New Roman" w:cs="Times New Roman"/>
          <w:sz w:val="24"/>
        </w:rPr>
        <w:tab/>
        <w:t>Dinh, T.; Zeng, Y.; Zhang, R.; Lin, Z.; Gira, M.; Rajput, S.; Sohn, J.; Papailiopoulos, D.; Lee, K. LI</w:t>
      </w:r>
      <w:r>
        <w:rPr>
          <w:rFonts w:ascii="Times New Roman" w:hAnsi="Times New Roman" w:cs="Times New Roman"/>
          <w:sz w:val="24"/>
        </w:rPr>
        <w:t>FT: Language-Interfaced Fine-Tuning for Non-Language Machine Learning Tasks.</w:t>
      </w:r>
    </w:p>
    <w:p w14:paraId="37AD0338"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(9)</w:t>
      </w:r>
      <w:r>
        <w:rPr>
          <w:rFonts w:ascii="Times New Roman" w:hAnsi="Times New Roman" w:cs="Times New Roman"/>
          <w:sz w:val="24"/>
        </w:rPr>
        <w:tab/>
        <w:t xml:space="preserve">Hocky, G. M.; White, A. D. Natural Language Processing Models That Automate Programming Will Transform Chemistry Research and Teaching. </w:t>
      </w:r>
      <w:r>
        <w:rPr>
          <w:rFonts w:ascii="Times New Roman" w:hAnsi="Times New Roman" w:cs="Times New Roman"/>
          <w:i/>
          <w:iCs/>
          <w:sz w:val="24"/>
        </w:rPr>
        <w:t>Digit. Discov.</w:t>
      </w:r>
      <w:r>
        <w:rPr>
          <w:rFonts w:ascii="Times New Roman" w:hAnsi="Times New Roman" w:cs="Times New Roman"/>
          <w:sz w:val="24"/>
        </w:rPr>
        <w:t xml:space="preserve"> </w:t>
      </w:r>
      <w:r>
        <w:rPr>
          <w:rFonts w:ascii="Times New Roman" w:hAnsi="Times New Roman" w:cs="Times New Roman"/>
          <w:b/>
          <w:bCs/>
          <w:sz w:val="24"/>
        </w:rPr>
        <w:t>2022</w:t>
      </w:r>
      <w:r>
        <w:rPr>
          <w:rFonts w:ascii="Times New Roman" w:hAnsi="Times New Roman" w:cs="Times New Roman"/>
          <w:sz w:val="24"/>
        </w:rPr>
        <w:t xml:space="preserve">, </w:t>
      </w:r>
      <w:r>
        <w:rPr>
          <w:rFonts w:ascii="Times New Roman" w:hAnsi="Times New Roman" w:cs="Times New Roman"/>
          <w:i/>
          <w:iCs/>
          <w:sz w:val="24"/>
        </w:rPr>
        <w:t>1</w:t>
      </w:r>
      <w:r>
        <w:rPr>
          <w:rFonts w:ascii="Times New Roman" w:hAnsi="Times New Roman" w:cs="Times New Roman"/>
          <w:sz w:val="24"/>
        </w:rPr>
        <w:t xml:space="preserve"> (2), 79–83. http</w:t>
      </w:r>
      <w:r>
        <w:rPr>
          <w:rFonts w:ascii="Times New Roman" w:hAnsi="Times New Roman" w:cs="Times New Roman"/>
          <w:sz w:val="24"/>
        </w:rPr>
        <w:t>s://doi.org/10.1039/D1DD00009H.</w:t>
      </w:r>
    </w:p>
    <w:p w14:paraId="03613A23"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(10)</w:t>
      </w:r>
      <w:r>
        <w:rPr>
          <w:rFonts w:ascii="Times New Roman" w:hAnsi="Times New Roman" w:cs="Times New Roman"/>
          <w:sz w:val="24"/>
        </w:rPr>
        <w:tab/>
        <w:t>Edwards, C.; Lai, T.; Ros, K.; Honke, G.; Cho, K.; Ji, H. Translation between Molecules and Natural Language. arXiv November 3, 2022. http://arxiv.org/abs/2204.11817 (accessed 2024-02-24).</w:t>
      </w:r>
    </w:p>
    <w:p w14:paraId="44000C6F" w14:textId="77777777" w:rsidR="000F3761" w:rsidRDefault="00AB3A62">
      <w:pPr>
        <w:pStyle w:val="Bibliography1"/>
        <w:rPr>
          <w:rFonts w:ascii="Times New Roman" w:hAnsi="Times New Roman" w:cs="Times New Roman"/>
          <w:sz w:val="24"/>
        </w:rPr>
      </w:pPr>
      <w:r>
        <w:rPr>
          <w:rFonts w:ascii="Times New Roman" w:hAnsi="Times New Roman" w:cs="Times New Roman"/>
          <w:sz w:val="24"/>
          <w:lang w:val="de-DE"/>
        </w:rPr>
        <w:t>(11)</w:t>
      </w:r>
      <w:r>
        <w:rPr>
          <w:rFonts w:ascii="Times New Roman" w:hAnsi="Times New Roman" w:cs="Times New Roman"/>
          <w:sz w:val="24"/>
          <w:lang w:val="de-DE"/>
        </w:rPr>
        <w:tab/>
        <w:t xml:space="preserve">Rebecca S. Katz; Rebecca </w:t>
      </w:r>
      <w:r>
        <w:rPr>
          <w:rFonts w:ascii="Times New Roman" w:hAnsi="Times New Roman" w:cs="Times New Roman"/>
          <w:sz w:val="24"/>
          <w:lang w:val="de-DE"/>
        </w:rPr>
        <w:t xml:space="preserve">S. Katz. </w:t>
      </w:r>
      <w:r>
        <w:rPr>
          <w:rFonts w:ascii="Times New Roman" w:hAnsi="Times New Roman" w:cs="Times New Roman"/>
          <w:sz w:val="24"/>
        </w:rPr>
        <w:t xml:space="preserve">Environmental Protection Agency. </w:t>
      </w:r>
      <w:r>
        <w:rPr>
          <w:rFonts w:ascii="Times New Roman" w:hAnsi="Times New Roman" w:cs="Times New Roman"/>
          <w:i/>
          <w:iCs/>
          <w:sz w:val="24"/>
        </w:rPr>
        <w:t>Grants Regist. 2022</w:t>
      </w:r>
      <w:r>
        <w:rPr>
          <w:rFonts w:ascii="Times New Roman" w:hAnsi="Times New Roman" w:cs="Times New Roman"/>
          <w:sz w:val="24"/>
        </w:rPr>
        <w:t xml:space="preserve"> </w:t>
      </w:r>
      <w:r>
        <w:rPr>
          <w:rFonts w:ascii="Times New Roman" w:hAnsi="Times New Roman" w:cs="Times New Roman"/>
          <w:b/>
          <w:bCs/>
          <w:sz w:val="24"/>
        </w:rPr>
        <w:t>///</w:t>
      </w:r>
      <w:r>
        <w:rPr>
          <w:rFonts w:ascii="Times New Roman" w:hAnsi="Times New Roman" w:cs="Times New Roman"/>
          <w:sz w:val="24"/>
        </w:rPr>
        <w:t>. https://doi.org/10.4135/9781412914260.n159.</w:t>
      </w:r>
    </w:p>
    <w:p w14:paraId="50E9CF3F"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(12)</w:t>
      </w:r>
      <w:r>
        <w:rPr>
          <w:rFonts w:ascii="Times New Roman" w:hAnsi="Times New Roman" w:cs="Times New Roman"/>
          <w:sz w:val="24"/>
        </w:rPr>
        <w:tab/>
        <w:t xml:space="preserve">David Weininger; David Weininger. SMILES, a Chemical Language and Information System. 1. Introduction to Methodology and Encoding Rules. </w:t>
      </w:r>
      <w:r>
        <w:rPr>
          <w:rFonts w:ascii="Times New Roman" w:hAnsi="Times New Roman" w:cs="Times New Roman"/>
          <w:i/>
          <w:iCs/>
          <w:sz w:val="24"/>
        </w:rPr>
        <w:t xml:space="preserve">J. </w:t>
      </w:r>
      <w:r>
        <w:rPr>
          <w:rFonts w:ascii="Times New Roman" w:hAnsi="Times New Roman" w:cs="Times New Roman"/>
          <w:i/>
          <w:iCs/>
          <w:sz w:val="24"/>
        </w:rPr>
        <w:t>Chem. Inf. Comput. Sci.</w:t>
      </w:r>
      <w:r>
        <w:rPr>
          <w:rFonts w:ascii="Times New Roman" w:hAnsi="Times New Roman" w:cs="Times New Roman"/>
          <w:sz w:val="24"/>
        </w:rPr>
        <w:t xml:space="preserve"> </w:t>
      </w:r>
      <w:r>
        <w:rPr>
          <w:rFonts w:ascii="Times New Roman" w:hAnsi="Times New Roman" w:cs="Times New Roman"/>
          <w:b/>
          <w:bCs/>
          <w:sz w:val="24"/>
        </w:rPr>
        <w:t>1988</w:t>
      </w:r>
      <w:r>
        <w:rPr>
          <w:rFonts w:ascii="Times New Roman" w:hAnsi="Times New Roman" w:cs="Times New Roman"/>
          <w:sz w:val="24"/>
        </w:rPr>
        <w:t>. https://doi.org/10.1021/ci00057a005.</w:t>
      </w:r>
    </w:p>
    <w:p w14:paraId="34C08452"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(13)</w:t>
      </w:r>
      <w:r>
        <w:rPr>
          <w:rFonts w:ascii="Times New Roman" w:hAnsi="Times New Roman" w:cs="Times New Roman"/>
          <w:sz w:val="24"/>
        </w:rPr>
        <w:tab/>
        <w:t>Wei, J.; Wang, X.; Schuurmans, D.; Bosma, M.; Ichter, B.; Xia, F.; Chi, E.; Le, Q.; Zhou, D. Chain-of-Thought Prompting Elicits Reasoning in Large Language Models. arXiv January 10, 20</w:t>
      </w:r>
      <w:r>
        <w:rPr>
          <w:rFonts w:ascii="Times New Roman" w:hAnsi="Times New Roman" w:cs="Times New Roman"/>
          <w:sz w:val="24"/>
        </w:rPr>
        <w:t>23. http://arxiv.org/abs/2201.11903 (accessed 2024-02-24).</w:t>
      </w:r>
    </w:p>
    <w:p w14:paraId="58A10EDC"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(14)</w:t>
      </w:r>
      <w:r>
        <w:rPr>
          <w:rFonts w:ascii="Times New Roman" w:hAnsi="Times New Roman" w:cs="Times New Roman"/>
          <w:sz w:val="24"/>
        </w:rPr>
        <w:tab/>
        <w:t>Hu, E. J.; Shen, Y.; Wallis, P.; Allen-Zhu, Z.; Li, Y.; Wang, S.; Wang, L.; Chen, W. LoRA: Low-Rank Adaptation of Large Language Models. arXiv October 16, 2021. http://arxiv.org/abs/2106.09685</w:t>
      </w:r>
      <w:r>
        <w:rPr>
          <w:rFonts w:ascii="Times New Roman" w:hAnsi="Times New Roman" w:cs="Times New Roman"/>
          <w:sz w:val="24"/>
        </w:rPr>
        <w:t xml:space="preserve"> (accessed 2024-02-24).</w:t>
      </w:r>
    </w:p>
    <w:p w14:paraId="35C3FC4B"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(15)</w:t>
      </w:r>
      <w:r>
        <w:rPr>
          <w:rFonts w:ascii="Times New Roman" w:hAnsi="Times New Roman" w:cs="Times New Roman"/>
          <w:sz w:val="24"/>
        </w:rPr>
        <w:tab/>
        <w:t>Raschka, S. Model Evaluation, Model Selection, and Algorithm Selection in Machine Learning. arXiv November 10, 2020. http://arxiv.org/abs/1811.12808 (accessed 2024-02-23).</w:t>
      </w:r>
    </w:p>
    <w:p w14:paraId="3AB29214"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(16)</w:t>
      </w:r>
      <w:r>
        <w:rPr>
          <w:rFonts w:ascii="Times New Roman" w:hAnsi="Times New Roman" w:cs="Times New Roman"/>
          <w:sz w:val="24"/>
        </w:rPr>
        <w:tab/>
        <w:t>Pedregosa, F.; Varoquaux, G.; Gramfort, A.; Michel</w:t>
      </w:r>
      <w:r>
        <w:rPr>
          <w:rFonts w:ascii="Times New Roman" w:hAnsi="Times New Roman" w:cs="Times New Roman"/>
          <w:sz w:val="24"/>
        </w:rPr>
        <w:t>, V.; Thirion, B.; Grisel, O.; Blondel, M.; Müller, A.; Nothman, J.; Louppe, G.; Prettenhofer, P.; Weiss, R.; Dubourg, V.; Vanderplas, J.; Passos, A.; Cournapeau, D.; Brucher, M.; Perrot, M.; Duchesnay, É. Scikit-Learn: Machine Learning in Python. arXiv Ju</w:t>
      </w:r>
      <w:r>
        <w:rPr>
          <w:rFonts w:ascii="Times New Roman" w:hAnsi="Times New Roman" w:cs="Times New Roman"/>
          <w:sz w:val="24"/>
        </w:rPr>
        <w:t>ne 5, 2018. http://arxiv.org/abs/1201.0490 (accessed 2024-02-24).</w:t>
      </w:r>
    </w:p>
    <w:p w14:paraId="6F9AD205"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(17)</w:t>
      </w:r>
      <w:r>
        <w:rPr>
          <w:rFonts w:ascii="Times New Roman" w:hAnsi="Times New Roman" w:cs="Times New Roman"/>
          <w:sz w:val="24"/>
        </w:rPr>
        <w:tab/>
        <w:t xml:space="preserve">Liberti, L.; Lavor, C.; Maculan, N.; Mucherino, A. Euclidean Distance Geometry and Applications. </w:t>
      </w:r>
      <w:r>
        <w:rPr>
          <w:rFonts w:ascii="Times New Roman" w:hAnsi="Times New Roman" w:cs="Times New Roman"/>
          <w:i/>
          <w:iCs/>
          <w:sz w:val="24"/>
        </w:rPr>
        <w:t>SIAM Rev.</w:t>
      </w:r>
      <w:r>
        <w:rPr>
          <w:rFonts w:ascii="Times New Roman" w:hAnsi="Times New Roman" w:cs="Times New Roman"/>
          <w:sz w:val="24"/>
        </w:rPr>
        <w:t xml:space="preserve"> </w:t>
      </w:r>
      <w:r>
        <w:rPr>
          <w:rFonts w:ascii="Times New Roman" w:hAnsi="Times New Roman" w:cs="Times New Roman"/>
          <w:b/>
          <w:bCs/>
          <w:sz w:val="24"/>
        </w:rPr>
        <w:t>2014</w:t>
      </w:r>
      <w:r>
        <w:rPr>
          <w:rFonts w:ascii="Times New Roman" w:hAnsi="Times New Roman" w:cs="Times New Roman"/>
          <w:sz w:val="24"/>
        </w:rPr>
        <w:t xml:space="preserve">, </w:t>
      </w:r>
      <w:r>
        <w:rPr>
          <w:rFonts w:ascii="Times New Roman" w:hAnsi="Times New Roman" w:cs="Times New Roman"/>
          <w:i/>
          <w:iCs/>
          <w:sz w:val="24"/>
        </w:rPr>
        <w:t>56</w:t>
      </w:r>
      <w:r>
        <w:rPr>
          <w:rFonts w:ascii="Times New Roman" w:hAnsi="Times New Roman" w:cs="Times New Roman"/>
          <w:sz w:val="24"/>
        </w:rPr>
        <w:t xml:space="preserve"> (1), 3–69. https://doi.org/10.1137/120875909.</w:t>
      </w:r>
    </w:p>
    <w:p w14:paraId="2177F1F8"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(18)</w:t>
      </w:r>
      <w:r>
        <w:rPr>
          <w:rFonts w:ascii="Times New Roman" w:hAnsi="Times New Roman" w:cs="Times New Roman"/>
          <w:sz w:val="24"/>
        </w:rPr>
        <w:tab/>
        <w:t xml:space="preserve">Bajusz, D.; Rácz, </w:t>
      </w:r>
      <w:r>
        <w:rPr>
          <w:rFonts w:ascii="Times New Roman" w:hAnsi="Times New Roman" w:cs="Times New Roman"/>
          <w:sz w:val="24"/>
        </w:rPr>
        <w:t xml:space="preserve">A.; Héberger, K. Why Is Tanimoto Index an Appropriate Choice for Fingerprint-Based Similarity Calculations? </w:t>
      </w:r>
      <w:r>
        <w:rPr>
          <w:rFonts w:ascii="Times New Roman" w:hAnsi="Times New Roman" w:cs="Times New Roman"/>
          <w:i/>
          <w:iCs/>
          <w:sz w:val="24"/>
        </w:rPr>
        <w:t>J. Cheminformatics</w:t>
      </w:r>
      <w:r>
        <w:rPr>
          <w:rFonts w:ascii="Times New Roman" w:hAnsi="Times New Roman" w:cs="Times New Roman"/>
          <w:sz w:val="24"/>
        </w:rPr>
        <w:t xml:space="preserve"> </w:t>
      </w:r>
      <w:r>
        <w:rPr>
          <w:rFonts w:ascii="Times New Roman" w:hAnsi="Times New Roman" w:cs="Times New Roman"/>
          <w:b/>
          <w:bCs/>
          <w:sz w:val="24"/>
        </w:rPr>
        <w:t>2015</w:t>
      </w:r>
      <w:r>
        <w:rPr>
          <w:rFonts w:ascii="Times New Roman" w:hAnsi="Times New Roman" w:cs="Times New Roman"/>
          <w:sz w:val="24"/>
        </w:rPr>
        <w:t xml:space="preserve">, </w:t>
      </w:r>
      <w:r>
        <w:rPr>
          <w:rFonts w:ascii="Times New Roman" w:hAnsi="Times New Roman" w:cs="Times New Roman"/>
          <w:i/>
          <w:iCs/>
          <w:sz w:val="24"/>
        </w:rPr>
        <w:t>7</w:t>
      </w:r>
      <w:r>
        <w:rPr>
          <w:rFonts w:ascii="Times New Roman" w:hAnsi="Times New Roman" w:cs="Times New Roman"/>
          <w:sz w:val="24"/>
        </w:rPr>
        <w:t xml:space="preserve"> (1), 20. https://doi.org/10.1186/s13321-015-0069-3.</w:t>
      </w:r>
    </w:p>
    <w:p w14:paraId="118A7D28"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(19)</w:t>
      </w:r>
      <w:r>
        <w:rPr>
          <w:rFonts w:ascii="Times New Roman" w:hAnsi="Times New Roman" w:cs="Times New Roman"/>
          <w:sz w:val="24"/>
        </w:rPr>
        <w:tab/>
        <w:t>Chen, T.; Guestrin, C. XGBoost: A Scalable Tree Boosting System.</w:t>
      </w:r>
      <w:r>
        <w:rPr>
          <w:rFonts w:ascii="Times New Roman" w:hAnsi="Times New Roman" w:cs="Times New Roman"/>
          <w:sz w:val="24"/>
        </w:rPr>
        <w:t xml:space="preserve"> In </w:t>
      </w:r>
      <w:r>
        <w:rPr>
          <w:rFonts w:ascii="Times New Roman" w:hAnsi="Times New Roman" w:cs="Times New Roman"/>
          <w:i/>
          <w:iCs/>
          <w:sz w:val="24"/>
        </w:rPr>
        <w:t>Proceedings of the 22nd ACM SIGKDD International Conference on Knowledge Discovery and Data Mining</w:t>
      </w:r>
      <w:r>
        <w:rPr>
          <w:rFonts w:ascii="Times New Roman" w:hAnsi="Times New Roman" w:cs="Times New Roman"/>
          <w:sz w:val="24"/>
        </w:rPr>
        <w:t>; KDD ’16; Association for Computing Machinery: New York, NY, USA, 2016; pp 785–794. https://doi.org/10.1145/2939672.2939785.</w:t>
      </w:r>
    </w:p>
    <w:p w14:paraId="08F014A4"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(20)</w:t>
      </w:r>
      <w:r>
        <w:rPr>
          <w:rFonts w:ascii="Times New Roman" w:hAnsi="Times New Roman" w:cs="Times New Roman"/>
          <w:sz w:val="24"/>
        </w:rPr>
        <w:tab/>
        <w:t>Ke, G.; Meng, Q.; Finle</w:t>
      </w:r>
      <w:r>
        <w:rPr>
          <w:rFonts w:ascii="Times New Roman" w:hAnsi="Times New Roman" w:cs="Times New Roman"/>
          <w:sz w:val="24"/>
        </w:rPr>
        <w:t xml:space="preserve">y, T.; Wang, T.; Chen, W.; Ma, W.; Ye, Q.; Liu, T.-Y. LightGBM: A Highly Efficient Gradient Boosting Decision Tree. In </w:t>
      </w:r>
      <w:r>
        <w:rPr>
          <w:rFonts w:ascii="Times New Roman" w:hAnsi="Times New Roman" w:cs="Times New Roman"/>
          <w:i/>
          <w:iCs/>
          <w:sz w:val="24"/>
        </w:rPr>
        <w:t>Advances in Neural Information Processing Systems</w:t>
      </w:r>
      <w:r>
        <w:rPr>
          <w:rFonts w:ascii="Times New Roman" w:hAnsi="Times New Roman" w:cs="Times New Roman"/>
          <w:sz w:val="24"/>
        </w:rPr>
        <w:t>; Curran Associates, Inc., 2017; Vol. 30.</w:t>
      </w:r>
    </w:p>
    <w:p w14:paraId="7D549863"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(21)</w:t>
      </w:r>
      <w:r>
        <w:rPr>
          <w:rFonts w:ascii="Times New Roman" w:hAnsi="Times New Roman" w:cs="Times New Roman"/>
          <w:sz w:val="24"/>
        </w:rPr>
        <w:tab/>
        <w:t xml:space="preserve">Natekin, A.; Knoll, A. Gradient Boosting </w:t>
      </w:r>
      <w:r>
        <w:rPr>
          <w:rFonts w:ascii="Times New Roman" w:hAnsi="Times New Roman" w:cs="Times New Roman"/>
          <w:sz w:val="24"/>
        </w:rPr>
        <w:t xml:space="preserve">Machines, a Tutorial. </w:t>
      </w:r>
      <w:r>
        <w:rPr>
          <w:rFonts w:ascii="Times New Roman" w:hAnsi="Times New Roman" w:cs="Times New Roman"/>
          <w:i/>
          <w:iCs/>
          <w:sz w:val="24"/>
        </w:rPr>
        <w:t xml:space="preserve">Front. </w:t>
      </w:r>
      <w:r>
        <w:rPr>
          <w:rFonts w:ascii="Times New Roman" w:hAnsi="Times New Roman" w:cs="Times New Roman"/>
          <w:i/>
          <w:iCs/>
          <w:sz w:val="24"/>
        </w:rPr>
        <w:lastRenderedPageBreak/>
        <w:t>Neurorobotics</w:t>
      </w:r>
      <w:r>
        <w:rPr>
          <w:rFonts w:ascii="Times New Roman" w:hAnsi="Times New Roman" w:cs="Times New Roman"/>
          <w:sz w:val="24"/>
        </w:rPr>
        <w:t xml:space="preserve"> </w:t>
      </w:r>
      <w:r>
        <w:rPr>
          <w:rFonts w:ascii="Times New Roman" w:hAnsi="Times New Roman" w:cs="Times New Roman"/>
          <w:b/>
          <w:bCs/>
          <w:sz w:val="24"/>
        </w:rPr>
        <w:t>2013</w:t>
      </w:r>
      <w:r>
        <w:rPr>
          <w:rFonts w:ascii="Times New Roman" w:hAnsi="Times New Roman" w:cs="Times New Roman"/>
          <w:sz w:val="24"/>
        </w:rPr>
        <w:t xml:space="preserve">, </w:t>
      </w:r>
      <w:r>
        <w:rPr>
          <w:rFonts w:ascii="Times New Roman" w:hAnsi="Times New Roman" w:cs="Times New Roman"/>
          <w:i/>
          <w:iCs/>
          <w:sz w:val="24"/>
        </w:rPr>
        <w:t>7</w:t>
      </w:r>
      <w:r>
        <w:rPr>
          <w:rFonts w:ascii="Times New Roman" w:hAnsi="Times New Roman" w:cs="Times New Roman"/>
          <w:sz w:val="24"/>
        </w:rPr>
        <w:t>. https://doi.org/10.3389/fnbot.2013.00021.</w:t>
      </w:r>
    </w:p>
    <w:p w14:paraId="316712BD" w14:textId="77777777" w:rsidR="000F3761" w:rsidRDefault="00AB3A62">
      <w:pPr>
        <w:pStyle w:val="Bibliography1"/>
        <w:rPr>
          <w:rFonts w:ascii="Times New Roman" w:hAnsi="Times New Roman" w:cs="Times New Roman"/>
          <w:sz w:val="24"/>
        </w:rPr>
      </w:pPr>
      <w:r>
        <w:rPr>
          <w:rFonts w:ascii="Times New Roman" w:hAnsi="Times New Roman" w:cs="Times New Roman"/>
          <w:sz w:val="24"/>
        </w:rPr>
        <w:t>(22)</w:t>
      </w:r>
      <w:r>
        <w:rPr>
          <w:rFonts w:ascii="Times New Roman" w:hAnsi="Times New Roman" w:cs="Times New Roman"/>
          <w:sz w:val="24"/>
        </w:rPr>
        <w:tab/>
      </w:r>
      <w:r>
        <w:rPr>
          <w:rFonts w:ascii="Times New Roman" w:hAnsi="Times New Roman" w:cs="Times New Roman"/>
          <w:sz w:val="24"/>
        </w:rPr>
        <w:t xml:space="preserve">Prokhorenkova, L.; Gusev, G.; Vorobev, A.; Dorogush, A. V.; Gulin, A. CatBoost: Unbiased Boosting with Categorical Features. In </w:t>
      </w:r>
      <w:r>
        <w:rPr>
          <w:rFonts w:ascii="Times New Roman" w:hAnsi="Times New Roman" w:cs="Times New Roman"/>
          <w:i/>
          <w:iCs/>
          <w:sz w:val="24"/>
        </w:rPr>
        <w:t>Advances in Neural Information Processing Systems</w:t>
      </w:r>
      <w:r>
        <w:rPr>
          <w:rFonts w:ascii="Times New Roman" w:hAnsi="Times New Roman" w:cs="Times New Roman"/>
          <w:sz w:val="24"/>
        </w:rPr>
        <w:t>; Curran Associates, Inc., 2018; Vol. 31.</w:t>
      </w:r>
    </w:p>
    <w:p w14:paraId="5A46B167" w14:textId="77777777" w:rsidR="000F3761" w:rsidRDefault="00AB3A62">
      <w:pPr>
        <w:widowControl/>
        <w:spacing w:before="240" w:line="480" w:lineRule="auto"/>
        <w:jc w:val="left"/>
        <w:rPr>
          <w:rFonts w:ascii="Times New Roman" w:hAnsi="Times New Roman" w:cs="Times New Roman"/>
          <w:sz w:val="24"/>
          <w:szCs w:val="24"/>
        </w:rPr>
      </w:pPr>
      <w:r>
        <w:rPr>
          <w:rFonts w:ascii="Times New Roman" w:eastAsia="宋体" w:hAnsi="Times New Roman" w:cs="Times New Roman"/>
          <w:b/>
          <w:kern w:val="0"/>
          <w:sz w:val="24"/>
          <w:szCs w:val="24"/>
          <w:lang w:val="en-GB"/>
        </w:rPr>
        <w:fldChar w:fldCharType="end"/>
      </w:r>
      <w:r>
        <w:rPr>
          <w:rFonts w:ascii="Times New Roman" w:hAnsi="Times New Roman" w:cs="Times New Roman"/>
          <w:sz w:val="24"/>
          <w:szCs w:val="24"/>
        </w:rPr>
        <w:br w:type="page"/>
      </w:r>
    </w:p>
    <w:p w14:paraId="6510A6F7" w14:textId="77777777" w:rsidR="000F3761" w:rsidRDefault="00AB3A62">
      <w:pPr>
        <w:pStyle w:val="10"/>
        <w:rPr>
          <w:rFonts w:ascii="Times New Roman" w:hAnsi="Times New Roman"/>
        </w:rPr>
      </w:pPr>
      <w:r>
        <w:rPr>
          <w:noProof/>
        </w:rPr>
        <w:lastRenderedPageBreak/>
        <w:drawing>
          <wp:inline distT="0" distB="0" distL="114300" distR="114300" wp14:anchorId="6DD025D7" wp14:editId="65489659">
            <wp:extent cx="5273675" cy="1880235"/>
            <wp:effectExtent l="0" t="0" r="9525" b="247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1"/>
                    <a:stretch>
                      <a:fillRect/>
                    </a:stretch>
                  </pic:blipFill>
                  <pic:spPr>
                    <a:xfrm>
                      <a:off x="0" y="0"/>
                      <a:ext cx="5273675" cy="1880235"/>
                    </a:xfrm>
                    <a:prstGeom prst="rect">
                      <a:avLst/>
                    </a:prstGeom>
                    <a:noFill/>
                    <a:ln>
                      <a:noFill/>
                    </a:ln>
                  </pic:spPr>
                </pic:pic>
              </a:graphicData>
            </a:graphic>
          </wp:inline>
        </w:drawing>
      </w:r>
    </w:p>
    <w:p w14:paraId="4AE236CF" w14:textId="77777777" w:rsidR="000F3761" w:rsidRDefault="00AB3A62">
      <w:pPr>
        <w:pStyle w:val="a3"/>
        <w:jc w:val="both"/>
        <w:rPr>
          <w:rFonts w:ascii="Times New Roman" w:hAnsi="Times New Roman" w:cs="Times New Roman"/>
          <w:b w:val="0"/>
          <w:sz w:val="24"/>
          <w:szCs w:val="24"/>
          <w:lang w:eastAsia="zh-CN"/>
        </w:rPr>
      </w:pPr>
      <w:bookmarkStart w:id="0" w:name="_Toc413657630"/>
      <w:r>
        <w:rPr>
          <w:rFonts w:ascii="Times New Roman" w:hAnsi="Times New Roman" w:cs="Times New Roman"/>
          <w:sz w:val="24"/>
          <w:szCs w:val="24"/>
        </w:rPr>
        <w:t>Fig</w:t>
      </w:r>
      <w:r>
        <w:rPr>
          <w:rFonts w:ascii="Times New Roman" w:hAnsi="Times New Roman" w:cs="Times New Roman" w:hint="eastAsia"/>
          <w:sz w:val="24"/>
          <w:szCs w:val="24"/>
          <w:lang w:eastAsia="zh-CN"/>
        </w:rPr>
        <w:t>ure</w:t>
      </w:r>
      <w:r>
        <w:rPr>
          <w:rFonts w:ascii="Times New Roman" w:hAnsi="Times New Roman" w:cs="Times New Roman"/>
          <w:sz w:val="24"/>
          <w:szCs w:val="24"/>
          <w:lang w:eastAsia="zh-CN"/>
        </w:rPr>
        <w:t xml:space="preserve"> 1</w:t>
      </w:r>
      <w:r>
        <w:rPr>
          <w:rFonts w:ascii="Times New Roman" w:hAnsi="Times New Roman" w:cs="Times New Roman"/>
          <w:sz w:val="24"/>
          <w:szCs w:val="24"/>
        </w:rPr>
        <w:t>.</w:t>
      </w:r>
      <w:r>
        <w:rPr>
          <w:rFonts w:ascii="Times New Roman" w:hAnsi="Times New Roman" w:cs="Times New Roman"/>
          <w:b w:val="0"/>
          <w:sz w:val="24"/>
          <w:szCs w:val="24"/>
        </w:rPr>
        <w:t xml:space="preserve"> </w:t>
      </w:r>
      <w:bookmarkEnd w:id="0"/>
      <w:r>
        <w:rPr>
          <w:rFonts w:ascii="Times New Roman" w:hAnsi="Times New Roman" w:cs="Times New Roman"/>
          <w:b w:val="0"/>
          <w:sz w:val="24"/>
          <w:szCs w:val="24"/>
          <w:lang w:eastAsia="zh-CN"/>
        </w:rPr>
        <w:t>Flowchart of this st</w:t>
      </w:r>
      <w:r>
        <w:rPr>
          <w:rFonts w:ascii="Times New Roman" w:hAnsi="Times New Roman" w:cs="Times New Roman"/>
          <w:b w:val="0"/>
          <w:sz w:val="24"/>
          <w:szCs w:val="24"/>
          <w:lang w:eastAsia="zh-CN"/>
        </w:rPr>
        <w:t>udy.</w:t>
      </w:r>
    </w:p>
    <w:p w14:paraId="635D7E4F" w14:textId="77777777" w:rsidR="000F3761" w:rsidRDefault="000F3761"/>
    <w:p w14:paraId="14C3981C" w14:textId="77777777" w:rsidR="000F3761" w:rsidRDefault="00AB3A62">
      <w:pPr>
        <w:spacing w:line="480" w:lineRule="auto"/>
        <w:ind w:left="420" w:hangingChars="200" w:hanging="420"/>
        <w:jc w:val="center"/>
        <w:rPr>
          <w:rFonts w:ascii="Times New Roman" w:eastAsia="Times New Roman" w:hAnsi="Times New Roman" w:cs="Times New Roman"/>
          <w:snapToGrid w:val="0"/>
          <w:color w:val="000000"/>
          <w:w w:val="0"/>
          <w:kern w:val="0"/>
          <w:sz w:val="0"/>
          <w:szCs w:val="0"/>
          <w:u w:color="000000"/>
          <w:shd w:val="clear" w:color="000000" w:fill="000000"/>
          <w:lang w:bidi="zh-CN"/>
        </w:rPr>
      </w:pPr>
      <w:r>
        <w:rPr>
          <w:noProof/>
        </w:rPr>
        <w:drawing>
          <wp:inline distT="0" distB="0" distL="0" distR="0" wp14:anchorId="2CBCCE3E" wp14:editId="6240E84E">
            <wp:extent cx="5274310" cy="2277745"/>
            <wp:effectExtent l="0" t="0" r="2540" b="8255"/>
            <wp:docPr id="1980409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9921" name="图片 1"/>
                    <pic:cNvPicPr>
                      <a:picLocks noChangeAspect="1"/>
                    </pic:cNvPicPr>
                  </pic:nvPicPr>
                  <pic:blipFill>
                    <a:blip r:embed="rId12"/>
                    <a:stretch>
                      <a:fillRect/>
                    </a:stretch>
                  </pic:blipFill>
                  <pic:spPr>
                    <a:xfrm>
                      <a:off x="0" y="0"/>
                      <a:ext cx="5274310" cy="2277745"/>
                    </a:xfrm>
                    <a:prstGeom prst="rect">
                      <a:avLst/>
                    </a:prstGeom>
                  </pic:spPr>
                </pic:pic>
              </a:graphicData>
            </a:graphic>
          </wp:inline>
        </w:drawing>
      </w:r>
    </w:p>
    <w:p w14:paraId="2EAF23DE" w14:textId="77777777" w:rsidR="000F3761" w:rsidRDefault="00AB3A62">
      <w:pPr>
        <w:widowControl/>
        <w:spacing w:line="480" w:lineRule="auto"/>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hint="eastAsia"/>
          <w:b/>
          <w:sz w:val="24"/>
          <w:szCs w:val="24"/>
        </w:rPr>
        <w:t>ure</w:t>
      </w:r>
      <w:r>
        <w:rPr>
          <w:rFonts w:ascii="Times New Roman" w:hAnsi="Times New Roman" w:cs="Times New Roman"/>
          <w:b/>
          <w:sz w:val="24"/>
          <w:szCs w:val="24"/>
        </w:rPr>
        <w:t xml:space="preserve"> 2. </w:t>
      </w:r>
      <w:r>
        <w:rPr>
          <w:rFonts w:ascii="Times New Roman" w:hAnsi="Times New Roman" w:cs="Times New Roman" w:hint="eastAsia"/>
          <w:sz w:val="24"/>
          <w:szCs w:val="24"/>
        </w:rPr>
        <w:t xml:space="preserve">Comparative analysis of the half-life predictions for the molecule DTXSID70790800. </w:t>
      </w:r>
    </w:p>
    <w:p w14:paraId="0FFFD03F" w14:textId="77777777" w:rsidR="000F3761" w:rsidRDefault="00AB3A62">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3E4B722" w14:textId="77777777" w:rsidR="000F3761" w:rsidRDefault="00AB3A62">
      <w:pPr>
        <w:spacing w:line="480" w:lineRule="auto"/>
        <w:jc w:val="center"/>
        <w:rPr>
          <w:rFonts w:ascii="Times New Roman" w:hAnsi="Times New Roman" w:cs="Times New Roman"/>
          <w:sz w:val="24"/>
          <w:szCs w:val="24"/>
        </w:rPr>
      </w:pPr>
      <w:r>
        <w:rPr>
          <w:noProof/>
        </w:rPr>
        <w:lastRenderedPageBreak/>
        <w:drawing>
          <wp:inline distT="0" distB="0" distL="114300" distR="114300" wp14:anchorId="6F1CD29F" wp14:editId="3FC9193E">
            <wp:extent cx="5265420" cy="3947795"/>
            <wp:effectExtent l="0" t="0" r="17780" b="146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3"/>
                    <a:stretch>
                      <a:fillRect/>
                    </a:stretch>
                  </pic:blipFill>
                  <pic:spPr>
                    <a:xfrm>
                      <a:off x="0" y="0"/>
                      <a:ext cx="5265420" cy="3947795"/>
                    </a:xfrm>
                    <a:prstGeom prst="rect">
                      <a:avLst/>
                    </a:prstGeom>
                    <a:noFill/>
                    <a:ln>
                      <a:noFill/>
                    </a:ln>
                  </pic:spPr>
                </pic:pic>
              </a:graphicData>
            </a:graphic>
          </wp:inline>
        </w:drawing>
      </w:r>
    </w:p>
    <w:p w14:paraId="585280AC" w14:textId="77777777" w:rsidR="000F3761" w:rsidRDefault="00AB3A62">
      <w:pPr>
        <w:spacing w:line="480" w:lineRule="auto"/>
        <w:rPr>
          <w:rFonts w:ascii="Times New Roman" w:hAnsi="Times New Roman" w:cs="Times New Roman"/>
          <w:sz w:val="24"/>
          <w:szCs w:val="24"/>
          <w:lang w:eastAsia="cs-CZ"/>
        </w:rPr>
      </w:pPr>
      <w:r>
        <w:rPr>
          <w:rFonts w:ascii="Times New Roman" w:hAnsi="Times New Roman" w:cs="Times New Roman"/>
          <w:b/>
          <w:sz w:val="24"/>
          <w:szCs w:val="24"/>
        </w:rPr>
        <w:t>Fig</w:t>
      </w:r>
      <w:r>
        <w:rPr>
          <w:rFonts w:ascii="Times New Roman" w:hAnsi="Times New Roman" w:cs="Times New Roman" w:hint="eastAsia"/>
          <w:b/>
          <w:sz w:val="24"/>
          <w:szCs w:val="24"/>
        </w:rPr>
        <w:t>ure</w:t>
      </w:r>
      <w:r>
        <w:rPr>
          <w:rFonts w:ascii="Times New Roman" w:hAnsi="Times New Roman" w:cs="Times New Roman"/>
          <w:b/>
          <w:sz w:val="24"/>
          <w:szCs w:val="24"/>
        </w:rPr>
        <w:t xml:space="preserve"> 3. </w:t>
      </w:r>
      <w:r>
        <w:rPr>
          <w:rFonts w:ascii="Times New Roman" w:hAnsi="Times New Roman" w:cs="Times New Roman"/>
          <w:bCs/>
          <w:sz w:val="24"/>
          <w:szCs w:val="24"/>
        </w:rPr>
        <w:t xml:space="preserve">Performance Comparison of Machine Learning Models Over Varying Data Points. The top two plots illustrate the Mean Absolute Error (MAE) </w:t>
      </w:r>
      <w:r>
        <w:rPr>
          <w:rFonts w:ascii="Times New Roman" w:hAnsi="Times New Roman" w:cs="Times New Roman"/>
          <w:bCs/>
          <w:sz w:val="24"/>
          <w:szCs w:val="24"/>
        </w:rPr>
        <w:t>and Root Mean Square Error (RMSE) against the number of data points for five different models: CatBoost, LightGBM, GradientBoost, XGBoost, and Llama. The bottom two bar graphs provide a more detailed view of the MAE and RMSE for these models at specific da</w:t>
      </w:r>
      <w:r>
        <w:rPr>
          <w:rFonts w:ascii="Times New Roman" w:hAnsi="Times New Roman" w:cs="Times New Roman"/>
          <w:bCs/>
          <w:sz w:val="24"/>
          <w:szCs w:val="24"/>
        </w:rPr>
        <w:t>ta point intervals (10, 50, 100, 200, 500, 1000). Each model's performance is evaluated based on how well they minimize the MAE and RMSE, which are critical metrics for model accuracy.</w:t>
      </w:r>
      <w:r>
        <w:rPr>
          <w:rFonts w:ascii="Times New Roman" w:hAnsi="Times New Roman" w:cs="Times New Roman"/>
          <w:sz w:val="24"/>
          <w:szCs w:val="24"/>
          <w:lang w:eastAsia="cs-CZ"/>
        </w:rPr>
        <w:t xml:space="preserve"> </w:t>
      </w:r>
    </w:p>
    <w:p w14:paraId="701F20D8" w14:textId="77777777" w:rsidR="000F3761" w:rsidRDefault="000F3761">
      <w:pPr>
        <w:spacing w:line="480" w:lineRule="auto"/>
        <w:rPr>
          <w:rFonts w:ascii="Times New Roman" w:hAnsi="Times New Roman" w:cs="Times New Roman"/>
          <w:b/>
          <w:sz w:val="24"/>
          <w:szCs w:val="24"/>
        </w:rPr>
      </w:pPr>
    </w:p>
    <w:p w14:paraId="753C00EA" w14:textId="77777777" w:rsidR="000F3761" w:rsidRDefault="00AB3A62">
      <w:pPr>
        <w:widowControl/>
        <w:spacing w:line="480" w:lineRule="auto"/>
        <w:rPr>
          <w:rFonts w:ascii="Times New Roman" w:hAnsi="Times New Roman" w:cs="Times New Roman"/>
          <w:b/>
          <w:sz w:val="24"/>
          <w:szCs w:val="24"/>
        </w:rPr>
      </w:pPr>
      <w:r>
        <w:rPr>
          <w:noProof/>
        </w:rPr>
        <w:lastRenderedPageBreak/>
        <w:drawing>
          <wp:inline distT="0" distB="0" distL="114300" distR="114300" wp14:anchorId="20DA468D" wp14:editId="70D15FB1">
            <wp:extent cx="5271135" cy="3002915"/>
            <wp:effectExtent l="0" t="0" r="12065" b="196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71135" cy="3002915"/>
                    </a:xfrm>
                    <a:prstGeom prst="rect">
                      <a:avLst/>
                    </a:prstGeom>
                    <a:noFill/>
                    <a:ln>
                      <a:noFill/>
                    </a:ln>
                  </pic:spPr>
                </pic:pic>
              </a:graphicData>
            </a:graphic>
          </wp:inline>
        </w:drawing>
      </w:r>
    </w:p>
    <w:p w14:paraId="19FC1A5B" w14:textId="77777777" w:rsidR="000F3761" w:rsidRDefault="00AB3A62">
      <w:pPr>
        <w:widowControl/>
        <w:spacing w:line="480" w:lineRule="auto"/>
        <w:rPr>
          <w:rFonts w:ascii="Times New Roman" w:hAnsi="Times New Roman" w:cs="Times New Roman"/>
          <w:bCs/>
          <w:sz w:val="24"/>
          <w:szCs w:val="24"/>
        </w:rPr>
      </w:pPr>
      <w:bookmarkStart w:id="1" w:name="_Hlk159417629"/>
      <w:r>
        <w:rPr>
          <w:rFonts w:ascii="Times New Roman" w:hAnsi="Times New Roman" w:cs="Times New Roman"/>
          <w:b/>
          <w:sz w:val="24"/>
          <w:szCs w:val="24"/>
        </w:rPr>
        <w:t>Fig</w:t>
      </w:r>
      <w:r>
        <w:rPr>
          <w:rFonts w:ascii="Times New Roman" w:hAnsi="Times New Roman" w:cs="Times New Roman" w:hint="eastAsia"/>
          <w:b/>
          <w:sz w:val="24"/>
          <w:szCs w:val="24"/>
        </w:rPr>
        <w:t>ure</w:t>
      </w:r>
      <w:r>
        <w:rPr>
          <w:rFonts w:ascii="Times New Roman" w:hAnsi="Times New Roman" w:cs="Times New Roman"/>
          <w:b/>
          <w:sz w:val="24"/>
          <w:szCs w:val="24"/>
        </w:rPr>
        <w:t xml:space="preserve"> 4. </w:t>
      </w:r>
      <w:r>
        <w:rPr>
          <w:rFonts w:ascii="Times New Roman" w:hAnsi="Times New Roman" w:cs="Times New Roman"/>
          <w:bCs/>
          <w:sz w:val="24"/>
          <w:szCs w:val="24"/>
        </w:rPr>
        <w:t>I</w:t>
      </w:r>
      <w:r>
        <w:rPr>
          <w:rFonts w:ascii="Times New Roman" w:hAnsi="Times New Roman" w:cs="Times New Roman" w:hint="eastAsia"/>
          <w:bCs/>
          <w:sz w:val="24"/>
          <w:szCs w:val="24"/>
        </w:rPr>
        <w:t>l</w:t>
      </w:r>
      <w:r>
        <w:rPr>
          <w:rFonts w:ascii="Times New Roman" w:hAnsi="Times New Roman" w:cs="Times New Roman"/>
          <w:bCs/>
          <w:sz w:val="24"/>
          <w:szCs w:val="24"/>
        </w:rPr>
        <w:t xml:space="preserve">lustration of the Chain of Thought (CoT) process for </w:t>
      </w:r>
      <w:r>
        <w:rPr>
          <w:rFonts w:ascii="Times New Roman" w:hAnsi="Times New Roman" w:cs="Times New Roman"/>
          <w:bCs/>
          <w:sz w:val="24"/>
          <w:szCs w:val="24"/>
        </w:rPr>
        <w:t>estimating the half-life of two chemical compounds.</w:t>
      </w:r>
      <w:bookmarkEnd w:id="1"/>
      <w:r>
        <w:rPr>
          <w:rFonts w:ascii="Times New Roman" w:hAnsi="Times New Roman" w:cs="Times New Roman"/>
          <w:bCs/>
          <w:sz w:val="24"/>
          <w:szCs w:val="24"/>
        </w:rPr>
        <w:t xml:space="preserve"> </w:t>
      </w:r>
    </w:p>
    <w:p w14:paraId="778BC695" w14:textId="77777777" w:rsidR="000F3761" w:rsidRDefault="000F3761">
      <w:pPr>
        <w:widowControl/>
        <w:spacing w:line="480" w:lineRule="auto"/>
        <w:rPr>
          <w:rFonts w:ascii="Times New Roman" w:hAnsi="Times New Roman" w:cs="Times New Roman"/>
          <w:b/>
          <w:sz w:val="24"/>
          <w:szCs w:val="24"/>
        </w:rPr>
      </w:pPr>
    </w:p>
    <w:p w14:paraId="484E44CE" w14:textId="77777777" w:rsidR="000F3761" w:rsidRDefault="000F3761">
      <w:pPr>
        <w:widowControl/>
        <w:spacing w:line="480" w:lineRule="auto"/>
        <w:rPr>
          <w:rFonts w:ascii="Times New Roman" w:hAnsi="Times New Roman" w:cs="Times New Roman"/>
          <w:sz w:val="24"/>
          <w:szCs w:val="24"/>
        </w:rPr>
      </w:pPr>
    </w:p>
    <w:p w14:paraId="7DB26448" w14:textId="77777777" w:rsidR="000F3761" w:rsidRDefault="00AB3A62">
      <w:pPr>
        <w:widowControl/>
        <w:jc w:val="left"/>
        <w:rPr>
          <w:rFonts w:ascii="Times New Roman" w:hAnsi="Times New Roman" w:cs="Times New Roman"/>
          <w:sz w:val="24"/>
          <w:szCs w:val="24"/>
          <w:lang w:eastAsia="cs-CZ"/>
        </w:rPr>
      </w:pPr>
      <w:r>
        <w:rPr>
          <w:rFonts w:ascii="Times New Roman" w:hAnsi="Times New Roman" w:cs="Times New Roman"/>
          <w:sz w:val="24"/>
          <w:szCs w:val="24"/>
          <w:lang w:eastAsia="cs-CZ"/>
        </w:rPr>
        <w:br w:type="page"/>
      </w:r>
    </w:p>
    <w:p w14:paraId="3FBE0901" w14:textId="77777777" w:rsidR="000F3761" w:rsidRDefault="00AB3A62">
      <w:pPr>
        <w:widowControl/>
        <w:spacing w:line="480" w:lineRule="auto"/>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2B510CA7" wp14:editId="5F5F262D">
            <wp:extent cx="5274310" cy="2280285"/>
            <wp:effectExtent l="0" t="0" r="889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291567" cy="2287745"/>
                    </a:xfrm>
                    <a:prstGeom prst="rect">
                      <a:avLst/>
                    </a:prstGeom>
                  </pic:spPr>
                </pic:pic>
              </a:graphicData>
            </a:graphic>
          </wp:inline>
        </w:drawing>
      </w:r>
    </w:p>
    <w:p w14:paraId="786C4619" w14:textId="77777777" w:rsidR="000F3761" w:rsidRDefault="00AB3A62">
      <w:pPr>
        <w:widowControl/>
        <w:spacing w:line="480" w:lineRule="auto"/>
        <w:jc w:val="center"/>
        <w:rPr>
          <w:rFonts w:ascii="Times New Roman" w:hAnsi="Times New Roman"/>
          <w:b/>
          <w:sz w:val="24"/>
          <w:szCs w:val="24"/>
        </w:rPr>
      </w:pPr>
      <w:r>
        <w:rPr>
          <w:rFonts w:ascii="Times New Roman" w:hAnsi="Times New Roman"/>
          <w:b/>
          <w:sz w:val="24"/>
          <w:szCs w:val="24"/>
        </w:rPr>
        <w:t>Table1.</w:t>
      </w:r>
      <w:r>
        <w:rPr>
          <w:rFonts w:ascii="Times New Roman" w:hAnsi="Times New Roman" w:hint="eastAsia"/>
          <w:b/>
          <w:sz w:val="24"/>
          <w:szCs w:val="24"/>
        </w:rPr>
        <w:t>Seven-Fold Cross-Validation Results for the Llama 2-13B-chat Model</w:t>
      </w:r>
      <w:r>
        <w:rPr>
          <w:rFonts w:ascii="Times New Roman" w:hAnsi="Times New Roman"/>
          <w:b/>
          <w:sz w:val="24"/>
          <w:szCs w:val="24"/>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260"/>
        <w:gridCol w:w="2835"/>
      </w:tblGrid>
      <w:tr w:rsidR="000F3761" w14:paraId="4D2A863B" w14:textId="77777777">
        <w:tc>
          <w:tcPr>
            <w:tcW w:w="2122" w:type="dxa"/>
            <w:tcBorders>
              <w:top w:val="single" w:sz="8" w:space="0" w:color="auto"/>
              <w:bottom w:val="single" w:sz="8" w:space="0" w:color="auto"/>
            </w:tcBorders>
            <w:shd w:val="clear" w:color="auto" w:fill="D9D9D9" w:themeFill="background1" w:themeFillShade="D9"/>
            <w:vAlign w:val="center"/>
          </w:tcPr>
          <w:p w14:paraId="6CCA2C02" w14:textId="77777777" w:rsidR="000F3761" w:rsidRDefault="00AB3A62">
            <w:pPr>
              <w:jc w:val="center"/>
              <w:rPr>
                <w:rFonts w:ascii="Times New Roman" w:hAnsi="Times New Roman" w:cs="Times New Roman"/>
              </w:rPr>
            </w:pPr>
            <w:r>
              <w:rPr>
                <w:rFonts w:ascii="Times New Roman" w:hAnsi="Times New Roman" w:cs="Times New Roman"/>
              </w:rPr>
              <w:t>Threshold value</w:t>
            </w:r>
          </w:p>
        </w:tc>
        <w:tc>
          <w:tcPr>
            <w:tcW w:w="3260" w:type="dxa"/>
            <w:tcBorders>
              <w:top w:val="single" w:sz="8" w:space="0" w:color="auto"/>
              <w:bottom w:val="single" w:sz="8" w:space="0" w:color="auto"/>
            </w:tcBorders>
            <w:shd w:val="clear" w:color="auto" w:fill="D9D9D9" w:themeFill="background1" w:themeFillShade="D9"/>
            <w:vAlign w:val="center"/>
          </w:tcPr>
          <w:p w14:paraId="23073D8B" w14:textId="77777777" w:rsidR="000F3761" w:rsidRDefault="00AB3A62">
            <w:pPr>
              <w:jc w:val="center"/>
              <w:rPr>
                <w:rFonts w:ascii="Times New Roman" w:hAnsi="Times New Roman" w:cs="Times New Roman"/>
              </w:rPr>
            </w:pPr>
            <w:r>
              <w:rPr>
                <w:rFonts w:ascii="Times New Roman" w:hAnsi="Times New Roman" w:cs="Times New Roman"/>
              </w:rPr>
              <w:t># of Compounds outside the applicability domain</w:t>
            </w:r>
          </w:p>
        </w:tc>
        <w:tc>
          <w:tcPr>
            <w:tcW w:w="2835" w:type="dxa"/>
            <w:tcBorders>
              <w:top w:val="single" w:sz="8" w:space="0" w:color="auto"/>
              <w:bottom w:val="single" w:sz="8" w:space="0" w:color="auto"/>
            </w:tcBorders>
            <w:shd w:val="clear" w:color="auto" w:fill="D9D9D9" w:themeFill="background1" w:themeFillShade="D9"/>
            <w:vAlign w:val="center"/>
          </w:tcPr>
          <w:p w14:paraId="67D0B7DD" w14:textId="77777777" w:rsidR="000F3761" w:rsidRDefault="00AB3A62">
            <w:pPr>
              <w:jc w:val="center"/>
              <w:rPr>
                <w:rFonts w:ascii="Times New Roman" w:hAnsi="Times New Roman" w:cs="Times New Roman"/>
              </w:rPr>
            </w:pPr>
            <w:r>
              <w:rPr>
                <w:rFonts w:ascii="Times New Roman" w:hAnsi="Times New Roman" w:cs="Times New Roman"/>
                <w:i/>
              </w:rPr>
              <w:t>RMSE</w:t>
            </w:r>
            <w:r>
              <w:rPr>
                <w:rFonts w:ascii="Times New Roman" w:hAnsi="Times New Roman" w:cs="Times New Roman"/>
                <w:vertAlign w:val="subscript"/>
              </w:rPr>
              <w:t>test</w:t>
            </w:r>
          </w:p>
        </w:tc>
      </w:tr>
      <w:tr w:rsidR="000F3761" w14:paraId="4284B2EB" w14:textId="77777777">
        <w:tc>
          <w:tcPr>
            <w:tcW w:w="2122" w:type="dxa"/>
            <w:tcBorders>
              <w:top w:val="single" w:sz="8" w:space="0" w:color="auto"/>
            </w:tcBorders>
            <w:vAlign w:val="center"/>
          </w:tcPr>
          <w:p w14:paraId="736C6351" w14:textId="77777777" w:rsidR="000F3761" w:rsidRDefault="00AB3A62">
            <w:pPr>
              <w:jc w:val="center"/>
              <w:rPr>
                <w:rFonts w:ascii="Times New Roman" w:hAnsi="Times New Roman" w:cs="Times New Roman"/>
              </w:rPr>
            </w:pPr>
            <w:r>
              <w:rPr>
                <w:rFonts w:ascii="Times New Roman" w:hAnsi="Times New Roman" w:cs="Times New Roman"/>
              </w:rPr>
              <w:t>0.74</w:t>
            </w:r>
          </w:p>
        </w:tc>
        <w:tc>
          <w:tcPr>
            <w:tcW w:w="3260" w:type="dxa"/>
            <w:tcBorders>
              <w:top w:val="single" w:sz="8" w:space="0" w:color="auto"/>
            </w:tcBorders>
            <w:vAlign w:val="center"/>
          </w:tcPr>
          <w:p w14:paraId="202B0B1F" w14:textId="77777777" w:rsidR="000F3761" w:rsidRDefault="00AB3A62">
            <w:pPr>
              <w:jc w:val="center"/>
              <w:rPr>
                <w:rFonts w:ascii="Times New Roman" w:hAnsi="Times New Roman" w:cs="Times New Roman"/>
              </w:rPr>
            </w:pPr>
            <w:r>
              <w:rPr>
                <w:rFonts w:ascii="Times New Roman" w:hAnsi="Times New Roman" w:cs="Times New Roman"/>
              </w:rPr>
              <w:t>0</w:t>
            </w:r>
          </w:p>
        </w:tc>
        <w:tc>
          <w:tcPr>
            <w:tcW w:w="2835" w:type="dxa"/>
            <w:tcBorders>
              <w:top w:val="single" w:sz="8" w:space="0" w:color="auto"/>
            </w:tcBorders>
            <w:vAlign w:val="center"/>
          </w:tcPr>
          <w:p w14:paraId="2E565EEF" w14:textId="77777777" w:rsidR="000F3761" w:rsidRDefault="00AB3A62">
            <w:pPr>
              <w:jc w:val="center"/>
              <w:rPr>
                <w:rFonts w:ascii="Times New Roman" w:hAnsi="Times New Roman" w:cs="Times New Roman"/>
              </w:rPr>
            </w:pPr>
            <w:r>
              <w:rPr>
                <w:rFonts w:ascii="Times New Roman" w:hAnsi="Times New Roman" w:cs="Times New Roman"/>
              </w:rPr>
              <w:t>0.252</w:t>
            </w:r>
          </w:p>
        </w:tc>
      </w:tr>
      <w:tr w:rsidR="000F3761" w14:paraId="718911FE" w14:textId="77777777">
        <w:tc>
          <w:tcPr>
            <w:tcW w:w="2122" w:type="dxa"/>
            <w:vAlign w:val="center"/>
          </w:tcPr>
          <w:p w14:paraId="77D0AEC5" w14:textId="77777777" w:rsidR="000F3761" w:rsidRDefault="00AB3A62">
            <w:pPr>
              <w:jc w:val="center"/>
              <w:rPr>
                <w:rFonts w:ascii="Times New Roman" w:hAnsi="Times New Roman" w:cs="Times New Roman"/>
              </w:rPr>
            </w:pPr>
            <w:r>
              <w:rPr>
                <w:rFonts w:ascii="Times New Roman" w:hAnsi="Times New Roman" w:cs="Times New Roman"/>
              </w:rPr>
              <w:t>0.79</w:t>
            </w:r>
          </w:p>
        </w:tc>
        <w:tc>
          <w:tcPr>
            <w:tcW w:w="3260" w:type="dxa"/>
            <w:vAlign w:val="center"/>
          </w:tcPr>
          <w:p w14:paraId="1BCDADC2" w14:textId="77777777" w:rsidR="000F3761" w:rsidRDefault="00AB3A62">
            <w:pPr>
              <w:jc w:val="center"/>
              <w:rPr>
                <w:rFonts w:ascii="Times New Roman" w:hAnsi="Times New Roman" w:cs="Times New Roman"/>
              </w:rPr>
            </w:pPr>
            <w:r>
              <w:rPr>
                <w:rFonts w:ascii="Times New Roman" w:hAnsi="Times New Roman" w:cs="Times New Roman"/>
              </w:rPr>
              <w:t>2</w:t>
            </w:r>
          </w:p>
        </w:tc>
        <w:tc>
          <w:tcPr>
            <w:tcW w:w="2835" w:type="dxa"/>
            <w:vAlign w:val="center"/>
          </w:tcPr>
          <w:p w14:paraId="3C8FBE6C" w14:textId="77777777" w:rsidR="000F3761" w:rsidRDefault="00AB3A62">
            <w:pPr>
              <w:jc w:val="center"/>
              <w:rPr>
                <w:rFonts w:ascii="Times New Roman" w:hAnsi="Times New Roman" w:cs="Times New Roman"/>
              </w:rPr>
            </w:pPr>
            <w:r>
              <w:rPr>
                <w:rFonts w:ascii="Times New Roman" w:hAnsi="Times New Roman" w:cs="Times New Roman"/>
              </w:rPr>
              <w:t>0.243</w:t>
            </w:r>
          </w:p>
        </w:tc>
      </w:tr>
      <w:tr w:rsidR="000F3761" w14:paraId="1AF17B7E" w14:textId="77777777">
        <w:tc>
          <w:tcPr>
            <w:tcW w:w="2122" w:type="dxa"/>
            <w:vAlign w:val="center"/>
          </w:tcPr>
          <w:p w14:paraId="32843888" w14:textId="77777777" w:rsidR="000F3761" w:rsidRDefault="00AB3A62">
            <w:pPr>
              <w:jc w:val="center"/>
              <w:rPr>
                <w:rFonts w:ascii="Times New Roman" w:hAnsi="Times New Roman" w:cs="Times New Roman"/>
              </w:rPr>
            </w:pPr>
            <w:r>
              <w:rPr>
                <w:rFonts w:ascii="Times New Roman" w:hAnsi="Times New Roman" w:cs="Times New Roman"/>
              </w:rPr>
              <w:t>0.84</w:t>
            </w:r>
          </w:p>
        </w:tc>
        <w:tc>
          <w:tcPr>
            <w:tcW w:w="3260" w:type="dxa"/>
            <w:vAlign w:val="center"/>
          </w:tcPr>
          <w:p w14:paraId="15798B9B" w14:textId="77777777" w:rsidR="000F3761" w:rsidRDefault="00AB3A62">
            <w:pPr>
              <w:jc w:val="center"/>
              <w:rPr>
                <w:rFonts w:ascii="Times New Roman" w:hAnsi="Times New Roman" w:cs="Times New Roman"/>
              </w:rPr>
            </w:pPr>
            <w:r>
              <w:rPr>
                <w:rFonts w:ascii="Times New Roman" w:hAnsi="Times New Roman" w:cs="Times New Roman"/>
              </w:rPr>
              <w:t>3</w:t>
            </w:r>
          </w:p>
        </w:tc>
        <w:tc>
          <w:tcPr>
            <w:tcW w:w="2835" w:type="dxa"/>
            <w:vAlign w:val="center"/>
          </w:tcPr>
          <w:p w14:paraId="72ED76BF" w14:textId="77777777" w:rsidR="000F3761" w:rsidRDefault="00AB3A62">
            <w:pPr>
              <w:jc w:val="center"/>
              <w:rPr>
                <w:rFonts w:ascii="Times New Roman" w:hAnsi="Times New Roman" w:cs="Times New Roman"/>
              </w:rPr>
            </w:pPr>
            <w:r>
              <w:rPr>
                <w:rFonts w:ascii="Times New Roman" w:hAnsi="Times New Roman" w:cs="Times New Roman"/>
              </w:rPr>
              <w:t>0.231</w:t>
            </w:r>
          </w:p>
        </w:tc>
      </w:tr>
      <w:tr w:rsidR="000F3761" w14:paraId="391859D9" w14:textId="77777777">
        <w:tc>
          <w:tcPr>
            <w:tcW w:w="2122" w:type="dxa"/>
            <w:vAlign w:val="center"/>
          </w:tcPr>
          <w:p w14:paraId="3D1B5F39" w14:textId="77777777" w:rsidR="000F3761" w:rsidRDefault="00AB3A62">
            <w:pPr>
              <w:jc w:val="center"/>
              <w:rPr>
                <w:rFonts w:ascii="Times New Roman" w:hAnsi="Times New Roman" w:cs="Times New Roman"/>
                <w:b/>
              </w:rPr>
            </w:pPr>
            <w:r>
              <w:rPr>
                <w:rFonts w:ascii="Times New Roman" w:hAnsi="Times New Roman" w:cs="Times New Roman"/>
                <w:b/>
              </w:rPr>
              <w:t>0.86</w:t>
            </w:r>
          </w:p>
        </w:tc>
        <w:tc>
          <w:tcPr>
            <w:tcW w:w="3260" w:type="dxa"/>
            <w:vAlign w:val="center"/>
          </w:tcPr>
          <w:p w14:paraId="5E20EE5D" w14:textId="77777777" w:rsidR="000F3761" w:rsidRDefault="00AB3A62">
            <w:pPr>
              <w:jc w:val="center"/>
              <w:rPr>
                <w:rFonts w:ascii="Times New Roman" w:hAnsi="Times New Roman" w:cs="Times New Roman"/>
                <w:b/>
              </w:rPr>
            </w:pPr>
            <w:r>
              <w:rPr>
                <w:rFonts w:ascii="Times New Roman" w:hAnsi="Times New Roman" w:cs="Times New Roman"/>
                <w:b/>
              </w:rPr>
              <w:t>6</w:t>
            </w:r>
          </w:p>
        </w:tc>
        <w:tc>
          <w:tcPr>
            <w:tcW w:w="2835" w:type="dxa"/>
            <w:vAlign w:val="center"/>
          </w:tcPr>
          <w:p w14:paraId="30654BC4" w14:textId="77777777" w:rsidR="000F3761" w:rsidRDefault="00AB3A62">
            <w:pPr>
              <w:jc w:val="center"/>
              <w:rPr>
                <w:rFonts w:ascii="Times New Roman" w:hAnsi="Times New Roman" w:cs="Times New Roman"/>
                <w:b/>
              </w:rPr>
            </w:pPr>
            <w:r>
              <w:rPr>
                <w:rFonts w:ascii="Times New Roman" w:hAnsi="Times New Roman" w:cs="Times New Roman"/>
                <w:b/>
              </w:rPr>
              <w:t>0.226</w:t>
            </w:r>
          </w:p>
        </w:tc>
      </w:tr>
      <w:tr w:rsidR="000F3761" w14:paraId="354D72B7" w14:textId="77777777">
        <w:trPr>
          <w:trHeight w:val="304"/>
        </w:trPr>
        <w:tc>
          <w:tcPr>
            <w:tcW w:w="2122" w:type="dxa"/>
            <w:vAlign w:val="center"/>
          </w:tcPr>
          <w:p w14:paraId="763BA3C9" w14:textId="77777777" w:rsidR="000F3761" w:rsidRDefault="00AB3A62">
            <w:pPr>
              <w:jc w:val="center"/>
              <w:rPr>
                <w:rFonts w:ascii="Times New Roman" w:hAnsi="Times New Roman" w:cs="Times New Roman"/>
              </w:rPr>
            </w:pPr>
            <w:r>
              <w:rPr>
                <w:rFonts w:ascii="Times New Roman" w:hAnsi="Times New Roman" w:cs="Times New Roman"/>
              </w:rPr>
              <w:t>0.88</w:t>
            </w:r>
          </w:p>
        </w:tc>
        <w:tc>
          <w:tcPr>
            <w:tcW w:w="3260" w:type="dxa"/>
            <w:vAlign w:val="center"/>
          </w:tcPr>
          <w:p w14:paraId="69073A92" w14:textId="77777777" w:rsidR="000F3761" w:rsidRDefault="00AB3A62">
            <w:pPr>
              <w:jc w:val="center"/>
              <w:rPr>
                <w:rFonts w:ascii="Times New Roman" w:hAnsi="Times New Roman" w:cs="Times New Roman"/>
              </w:rPr>
            </w:pPr>
            <w:r>
              <w:rPr>
                <w:rFonts w:ascii="Times New Roman" w:hAnsi="Times New Roman" w:cs="Times New Roman" w:hint="eastAsia"/>
              </w:rPr>
              <w:t>7</w:t>
            </w:r>
          </w:p>
        </w:tc>
        <w:tc>
          <w:tcPr>
            <w:tcW w:w="2835" w:type="dxa"/>
            <w:vAlign w:val="center"/>
          </w:tcPr>
          <w:p w14:paraId="555EEA40" w14:textId="77777777" w:rsidR="000F3761" w:rsidRDefault="00AB3A62">
            <w:pPr>
              <w:jc w:val="center"/>
              <w:rPr>
                <w:rFonts w:ascii="Times New Roman" w:hAnsi="Times New Roman" w:cs="Times New Roman"/>
              </w:rPr>
            </w:pPr>
            <w:r>
              <w:rPr>
                <w:rFonts w:ascii="Times New Roman" w:hAnsi="Times New Roman" w:cs="Times New Roman"/>
              </w:rPr>
              <w:t>0.233</w:t>
            </w:r>
          </w:p>
        </w:tc>
      </w:tr>
      <w:tr w:rsidR="000F3761" w14:paraId="431950A1" w14:textId="77777777">
        <w:tc>
          <w:tcPr>
            <w:tcW w:w="2122" w:type="dxa"/>
            <w:vAlign w:val="center"/>
          </w:tcPr>
          <w:p w14:paraId="7736ABAC" w14:textId="77777777" w:rsidR="000F3761" w:rsidRDefault="00AB3A62">
            <w:pPr>
              <w:jc w:val="center"/>
              <w:rPr>
                <w:rFonts w:ascii="Times New Roman" w:hAnsi="Times New Roman" w:cs="Times New Roman"/>
              </w:rPr>
            </w:pPr>
            <w:r>
              <w:rPr>
                <w:rFonts w:ascii="Times New Roman" w:hAnsi="Times New Roman" w:cs="Times New Roman"/>
              </w:rPr>
              <w:t>0.91</w:t>
            </w:r>
          </w:p>
        </w:tc>
        <w:tc>
          <w:tcPr>
            <w:tcW w:w="3260" w:type="dxa"/>
            <w:vAlign w:val="center"/>
          </w:tcPr>
          <w:p w14:paraId="0764D37C" w14:textId="77777777" w:rsidR="000F3761" w:rsidRDefault="00AB3A62">
            <w:pPr>
              <w:jc w:val="center"/>
              <w:rPr>
                <w:rFonts w:ascii="Times New Roman" w:hAnsi="Times New Roman" w:cs="Times New Roman"/>
              </w:rPr>
            </w:pPr>
            <w:r>
              <w:rPr>
                <w:rFonts w:ascii="Times New Roman" w:hAnsi="Times New Roman" w:cs="Times New Roman"/>
              </w:rPr>
              <w:t>10</w:t>
            </w:r>
          </w:p>
        </w:tc>
        <w:tc>
          <w:tcPr>
            <w:tcW w:w="2835" w:type="dxa"/>
            <w:vAlign w:val="center"/>
          </w:tcPr>
          <w:p w14:paraId="4211E209" w14:textId="77777777" w:rsidR="000F3761" w:rsidRDefault="00AB3A62">
            <w:pPr>
              <w:jc w:val="center"/>
              <w:rPr>
                <w:rFonts w:ascii="Times New Roman" w:hAnsi="Times New Roman" w:cs="Times New Roman"/>
              </w:rPr>
            </w:pPr>
            <w:r>
              <w:rPr>
                <w:rFonts w:ascii="Times New Roman" w:hAnsi="Times New Roman" w:cs="Times New Roman"/>
              </w:rPr>
              <w:t>0.242</w:t>
            </w:r>
          </w:p>
        </w:tc>
      </w:tr>
      <w:tr w:rsidR="000F3761" w14:paraId="1F0A10E7" w14:textId="77777777">
        <w:tc>
          <w:tcPr>
            <w:tcW w:w="2122" w:type="dxa"/>
            <w:tcBorders>
              <w:bottom w:val="single" w:sz="8" w:space="0" w:color="auto"/>
            </w:tcBorders>
            <w:vAlign w:val="center"/>
          </w:tcPr>
          <w:p w14:paraId="3D3716C4" w14:textId="77777777" w:rsidR="000F3761" w:rsidRDefault="00AB3A62">
            <w:pPr>
              <w:jc w:val="center"/>
              <w:rPr>
                <w:rFonts w:ascii="Times New Roman" w:hAnsi="Times New Roman" w:cs="Times New Roman"/>
              </w:rPr>
            </w:pPr>
            <w:r>
              <w:rPr>
                <w:rFonts w:ascii="Times New Roman" w:hAnsi="Times New Roman" w:cs="Times New Roman"/>
              </w:rPr>
              <w:t>0.96</w:t>
            </w:r>
          </w:p>
        </w:tc>
        <w:tc>
          <w:tcPr>
            <w:tcW w:w="3260" w:type="dxa"/>
            <w:tcBorders>
              <w:bottom w:val="single" w:sz="8" w:space="0" w:color="auto"/>
            </w:tcBorders>
            <w:vAlign w:val="center"/>
          </w:tcPr>
          <w:p w14:paraId="057134B9" w14:textId="77777777" w:rsidR="000F3761" w:rsidRDefault="00AB3A62">
            <w:pPr>
              <w:jc w:val="center"/>
              <w:rPr>
                <w:rFonts w:ascii="Times New Roman" w:hAnsi="Times New Roman" w:cs="Times New Roman"/>
              </w:rPr>
            </w:pPr>
            <w:r>
              <w:rPr>
                <w:rFonts w:ascii="Times New Roman" w:hAnsi="Times New Roman" w:cs="Times New Roman"/>
              </w:rPr>
              <w:t>12</w:t>
            </w:r>
          </w:p>
        </w:tc>
        <w:tc>
          <w:tcPr>
            <w:tcW w:w="2835" w:type="dxa"/>
            <w:tcBorders>
              <w:bottom w:val="single" w:sz="8" w:space="0" w:color="auto"/>
            </w:tcBorders>
            <w:vAlign w:val="center"/>
          </w:tcPr>
          <w:p w14:paraId="630056AD" w14:textId="77777777" w:rsidR="000F3761" w:rsidRDefault="00AB3A62">
            <w:pPr>
              <w:jc w:val="center"/>
              <w:rPr>
                <w:rFonts w:ascii="Times New Roman" w:hAnsi="Times New Roman" w:cs="Times New Roman"/>
              </w:rPr>
            </w:pPr>
            <w:r>
              <w:rPr>
                <w:rFonts w:ascii="Times New Roman" w:hAnsi="Times New Roman" w:cs="Times New Roman"/>
              </w:rPr>
              <w:t>0.249</w:t>
            </w:r>
          </w:p>
        </w:tc>
      </w:tr>
    </w:tbl>
    <w:p w14:paraId="60373087" w14:textId="77777777" w:rsidR="000F3761" w:rsidRDefault="00AB3A62">
      <w:pPr>
        <w:widowControl/>
        <w:spacing w:line="480" w:lineRule="auto"/>
        <w:jc w:val="center"/>
        <w:rPr>
          <w:rFonts w:ascii="Times New Roman" w:hAnsi="Times New Roman"/>
          <w:b/>
          <w:sz w:val="24"/>
          <w:szCs w:val="24"/>
        </w:rPr>
      </w:pPr>
      <w:r>
        <w:rPr>
          <w:rFonts w:ascii="Times New Roman" w:hAnsi="Times New Roman"/>
          <w:b/>
          <w:sz w:val="24"/>
          <w:szCs w:val="24"/>
        </w:rPr>
        <w:t>Table</w:t>
      </w:r>
      <w:r>
        <w:rPr>
          <w:rFonts w:ascii="Times New Roman" w:hAnsi="Times New Roman" w:hint="eastAsia"/>
          <w:b/>
          <w:sz w:val="24"/>
          <w:szCs w:val="24"/>
        </w:rPr>
        <w:t>2</w:t>
      </w:r>
      <w:r>
        <w:rPr>
          <w:rFonts w:ascii="Times New Roman" w:hAnsi="Times New Roman"/>
          <w:b/>
          <w:sz w:val="24"/>
          <w:szCs w:val="24"/>
        </w:rPr>
        <w:t>.AD of the Model</w:t>
      </w:r>
    </w:p>
    <w:p w14:paraId="404D973D" w14:textId="77777777" w:rsidR="000F3761" w:rsidRDefault="00AB3A62">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7BAFE416" w14:textId="77777777" w:rsidR="000F3761" w:rsidRDefault="00AB3A62">
      <w:pPr>
        <w:spacing w:after="20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60487F70">
          <v:shape id="_x0000_i1026" type="#_x0000_t75" style="width:.4pt;height:.4pt"/>
        </w:pict>
      </w:r>
    </w:p>
    <w:sectPr w:rsidR="000F3761">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9C60" w14:textId="77777777" w:rsidR="00AB3A62" w:rsidRDefault="00AB3A62">
      <w:r>
        <w:separator/>
      </w:r>
    </w:p>
  </w:endnote>
  <w:endnote w:type="continuationSeparator" w:id="0">
    <w:p w14:paraId="309A5B9F" w14:textId="77777777" w:rsidR="00AB3A62" w:rsidRDefault="00AB3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altName w:val="苹方-简"/>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Italic">
    <w:panose1 w:val="02020503050405090304"/>
    <w:charset w:val="00"/>
    <w:family w:val="auto"/>
    <w:pitch w:val="default"/>
    <w:sig w:usb0="E0000AFF" w:usb1="00007843" w:usb2="00000001" w:usb3="00000000" w:csb0="400001BF" w:csb1="DFF70000"/>
  </w:font>
  <w:font w:name="Times New Roman Bold">
    <w:panose1 w:val="02020803070505020304"/>
    <w:charset w:val="00"/>
    <w:family w:val="auto"/>
    <w:pitch w:val="default"/>
    <w:sig w:usb0="E0000AFF" w:usb1="00007843" w:usb2="00000001" w:usb3="00000000" w:csb0="400001BF" w:csb1="DFF70000"/>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sig w:usb0="E0000AFF" w:usb1="00007843" w:usb2="00000001" w:usb3="00000000" w:csb0="400001BF" w:csb1="DFF7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sdtPr>
    <w:sdtEndPr/>
    <w:sdtContent>
      <w:p w14:paraId="7896B71C" w14:textId="77777777" w:rsidR="000F3761" w:rsidRDefault="00AB3A62">
        <w:pPr>
          <w:pStyle w:val="a8"/>
          <w:jc w:val="center"/>
        </w:pPr>
        <w:r>
          <w:fldChar w:fldCharType="begin"/>
        </w:r>
        <w:r>
          <w:instrText xml:space="preserve"> PAGE   \* MERGEFORMAT </w:instrText>
        </w:r>
        <w:r>
          <w:fldChar w:fldCharType="separate"/>
        </w:r>
        <w:r>
          <w:t>2</w:t>
        </w:r>
        <w:r>
          <w:fldChar w:fldCharType="end"/>
        </w:r>
      </w:p>
    </w:sdtContent>
  </w:sdt>
  <w:p w14:paraId="48FBB504" w14:textId="77777777" w:rsidR="000F3761" w:rsidRDefault="000F376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AB8F8" w14:textId="77777777" w:rsidR="00AB3A62" w:rsidRDefault="00AB3A62">
      <w:r>
        <w:separator/>
      </w:r>
    </w:p>
  </w:footnote>
  <w:footnote w:type="continuationSeparator" w:id="0">
    <w:p w14:paraId="2C8EB1F5" w14:textId="77777777" w:rsidR="00AB3A62" w:rsidRDefault="00AB3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93688" w14:textId="77777777" w:rsidR="000F3761" w:rsidRDefault="000F3761">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4E1F60"/>
    <w:multiLevelType w:val="multilevel"/>
    <w:tmpl w:val="714E1F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VmMzRiMmQ4OGZkZjdjM2FhMDBkYjBkMGJkODg3YzkifQ=="/>
    <w:docVar w:name="EN.InstantFormat" w:val="&lt;ENInstantFormat&gt;&lt;Enabled&gt;1&lt;/Enabled&gt;&lt;ScanUnformatted&gt;1&lt;/ScanUnformatted&gt;&lt;ScanChanges&gt;1&lt;/ScanChanges&gt;&lt;Suspended&gt;0&lt;/Suspended&gt;&lt;/ENInstantFormat&gt;"/>
    <w:docVar w:name="EN.Layout" w:val="&lt;ENLayout&gt;&lt;Style&gt;Environ Science Tec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ar5f2tzgt9ee6ewp535sz2tvsd2dwtfrr0z&quot;&gt;My EndNote Library&lt;record-ids&gt;&lt;item&gt;289&lt;/item&gt;&lt;item&gt;426&lt;/item&gt;&lt;item&gt;637&lt;/item&gt;&lt;item&gt;686&lt;/item&gt;&lt;/record-ids&gt;&lt;/item&gt;&lt;/Libraries&gt;"/>
  </w:docVars>
  <w:rsids>
    <w:rsidRoot w:val="003F00CC"/>
    <w:rsid w:val="97F93E5E"/>
    <w:rsid w:val="BEDD2087"/>
    <w:rsid w:val="BF534C79"/>
    <w:rsid w:val="DB9D6A83"/>
    <w:rsid w:val="DEF7D9D2"/>
    <w:rsid w:val="F7EDF460"/>
    <w:rsid w:val="FD3FE48D"/>
    <w:rsid w:val="FE3F1E88"/>
    <w:rsid w:val="FFE3291E"/>
    <w:rsid w:val="000007FB"/>
    <w:rsid w:val="000014A0"/>
    <w:rsid w:val="0000164B"/>
    <w:rsid w:val="000024E1"/>
    <w:rsid w:val="000033D2"/>
    <w:rsid w:val="00003916"/>
    <w:rsid w:val="00003B26"/>
    <w:rsid w:val="00004A02"/>
    <w:rsid w:val="00004B2C"/>
    <w:rsid w:val="00004B82"/>
    <w:rsid w:val="0000521A"/>
    <w:rsid w:val="000058DE"/>
    <w:rsid w:val="00005F35"/>
    <w:rsid w:val="00006126"/>
    <w:rsid w:val="000062CC"/>
    <w:rsid w:val="00006A7C"/>
    <w:rsid w:val="00006C7E"/>
    <w:rsid w:val="00006DE1"/>
    <w:rsid w:val="00006F29"/>
    <w:rsid w:val="00007014"/>
    <w:rsid w:val="000076C8"/>
    <w:rsid w:val="0000783A"/>
    <w:rsid w:val="00010565"/>
    <w:rsid w:val="00010F27"/>
    <w:rsid w:val="0001147D"/>
    <w:rsid w:val="000118C9"/>
    <w:rsid w:val="00014AF1"/>
    <w:rsid w:val="00014F58"/>
    <w:rsid w:val="000151A6"/>
    <w:rsid w:val="00021ED8"/>
    <w:rsid w:val="0002272D"/>
    <w:rsid w:val="000238F7"/>
    <w:rsid w:val="0002423D"/>
    <w:rsid w:val="00025D0A"/>
    <w:rsid w:val="000265ED"/>
    <w:rsid w:val="00026C92"/>
    <w:rsid w:val="00027E32"/>
    <w:rsid w:val="000310B2"/>
    <w:rsid w:val="0003133E"/>
    <w:rsid w:val="0003227A"/>
    <w:rsid w:val="00032701"/>
    <w:rsid w:val="000329EA"/>
    <w:rsid w:val="00032C48"/>
    <w:rsid w:val="00033969"/>
    <w:rsid w:val="00033C68"/>
    <w:rsid w:val="000348FA"/>
    <w:rsid w:val="000349C5"/>
    <w:rsid w:val="00034ED3"/>
    <w:rsid w:val="00034F6A"/>
    <w:rsid w:val="00037FCE"/>
    <w:rsid w:val="00040344"/>
    <w:rsid w:val="000403FF"/>
    <w:rsid w:val="00040745"/>
    <w:rsid w:val="00040917"/>
    <w:rsid w:val="0004205D"/>
    <w:rsid w:val="0004278E"/>
    <w:rsid w:val="000449B5"/>
    <w:rsid w:val="00044A13"/>
    <w:rsid w:val="00046F23"/>
    <w:rsid w:val="0004753F"/>
    <w:rsid w:val="00047D29"/>
    <w:rsid w:val="000503F4"/>
    <w:rsid w:val="00051EF4"/>
    <w:rsid w:val="00051F38"/>
    <w:rsid w:val="00052A5D"/>
    <w:rsid w:val="00054DB3"/>
    <w:rsid w:val="000552F3"/>
    <w:rsid w:val="0005571C"/>
    <w:rsid w:val="00057373"/>
    <w:rsid w:val="0005785E"/>
    <w:rsid w:val="0006032C"/>
    <w:rsid w:val="00060474"/>
    <w:rsid w:val="0006078B"/>
    <w:rsid w:val="00060C98"/>
    <w:rsid w:val="0006167C"/>
    <w:rsid w:val="00061F12"/>
    <w:rsid w:val="000622B0"/>
    <w:rsid w:val="00062773"/>
    <w:rsid w:val="000628C3"/>
    <w:rsid w:val="0006290D"/>
    <w:rsid w:val="0006378B"/>
    <w:rsid w:val="00063D5D"/>
    <w:rsid w:val="00065E66"/>
    <w:rsid w:val="000669AB"/>
    <w:rsid w:val="0006762D"/>
    <w:rsid w:val="000677B7"/>
    <w:rsid w:val="000706FE"/>
    <w:rsid w:val="00070A14"/>
    <w:rsid w:val="00071F5D"/>
    <w:rsid w:val="0007293D"/>
    <w:rsid w:val="0007463A"/>
    <w:rsid w:val="00074DD0"/>
    <w:rsid w:val="000753A4"/>
    <w:rsid w:val="00075585"/>
    <w:rsid w:val="000766A3"/>
    <w:rsid w:val="0007753C"/>
    <w:rsid w:val="00077BB9"/>
    <w:rsid w:val="0008026D"/>
    <w:rsid w:val="000802BC"/>
    <w:rsid w:val="00080320"/>
    <w:rsid w:val="000805AD"/>
    <w:rsid w:val="00080604"/>
    <w:rsid w:val="000813C0"/>
    <w:rsid w:val="00081BAE"/>
    <w:rsid w:val="000834CD"/>
    <w:rsid w:val="000857C5"/>
    <w:rsid w:val="00091FEE"/>
    <w:rsid w:val="0009235B"/>
    <w:rsid w:val="00092EC7"/>
    <w:rsid w:val="00092FDE"/>
    <w:rsid w:val="000930E9"/>
    <w:rsid w:val="00093991"/>
    <w:rsid w:val="00094FCE"/>
    <w:rsid w:val="00096376"/>
    <w:rsid w:val="00096413"/>
    <w:rsid w:val="00096779"/>
    <w:rsid w:val="00096803"/>
    <w:rsid w:val="000976E4"/>
    <w:rsid w:val="00097D76"/>
    <w:rsid w:val="000A0AC4"/>
    <w:rsid w:val="000A16B6"/>
    <w:rsid w:val="000A22E1"/>
    <w:rsid w:val="000A2EF2"/>
    <w:rsid w:val="000A3DEB"/>
    <w:rsid w:val="000A4F6E"/>
    <w:rsid w:val="000A69AD"/>
    <w:rsid w:val="000A6E9A"/>
    <w:rsid w:val="000A75A1"/>
    <w:rsid w:val="000A7636"/>
    <w:rsid w:val="000B0732"/>
    <w:rsid w:val="000B07F2"/>
    <w:rsid w:val="000B0D3C"/>
    <w:rsid w:val="000B0DD5"/>
    <w:rsid w:val="000B1B11"/>
    <w:rsid w:val="000B24C2"/>
    <w:rsid w:val="000B2870"/>
    <w:rsid w:val="000B38D3"/>
    <w:rsid w:val="000B4443"/>
    <w:rsid w:val="000B512F"/>
    <w:rsid w:val="000B6A90"/>
    <w:rsid w:val="000C0B08"/>
    <w:rsid w:val="000C167E"/>
    <w:rsid w:val="000C1763"/>
    <w:rsid w:val="000C18F9"/>
    <w:rsid w:val="000C24E3"/>
    <w:rsid w:val="000C25DA"/>
    <w:rsid w:val="000C308E"/>
    <w:rsid w:val="000C3D9F"/>
    <w:rsid w:val="000C5CA8"/>
    <w:rsid w:val="000C6225"/>
    <w:rsid w:val="000C64B7"/>
    <w:rsid w:val="000C6F38"/>
    <w:rsid w:val="000C745B"/>
    <w:rsid w:val="000C76EE"/>
    <w:rsid w:val="000D03D3"/>
    <w:rsid w:val="000D1225"/>
    <w:rsid w:val="000D1862"/>
    <w:rsid w:val="000D2077"/>
    <w:rsid w:val="000D256B"/>
    <w:rsid w:val="000D2649"/>
    <w:rsid w:val="000D28A3"/>
    <w:rsid w:val="000D3316"/>
    <w:rsid w:val="000D3338"/>
    <w:rsid w:val="000D4252"/>
    <w:rsid w:val="000D4368"/>
    <w:rsid w:val="000D44E4"/>
    <w:rsid w:val="000D4711"/>
    <w:rsid w:val="000D4E72"/>
    <w:rsid w:val="000D5B88"/>
    <w:rsid w:val="000D6A63"/>
    <w:rsid w:val="000D6ABA"/>
    <w:rsid w:val="000D6F50"/>
    <w:rsid w:val="000D7ABC"/>
    <w:rsid w:val="000D7BD8"/>
    <w:rsid w:val="000E2352"/>
    <w:rsid w:val="000E326B"/>
    <w:rsid w:val="000E39F6"/>
    <w:rsid w:val="000E5A18"/>
    <w:rsid w:val="000E6806"/>
    <w:rsid w:val="000E6C77"/>
    <w:rsid w:val="000E7F8C"/>
    <w:rsid w:val="000F0891"/>
    <w:rsid w:val="000F16A2"/>
    <w:rsid w:val="000F1E13"/>
    <w:rsid w:val="000F3238"/>
    <w:rsid w:val="000F336A"/>
    <w:rsid w:val="000F3761"/>
    <w:rsid w:val="000F3AC2"/>
    <w:rsid w:val="000F4754"/>
    <w:rsid w:val="000F506D"/>
    <w:rsid w:val="000F53E1"/>
    <w:rsid w:val="000F5516"/>
    <w:rsid w:val="000F5942"/>
    <w:rsid w:val="000F6863"/>
    <w:rsid w:val="000F6C8C"/>
    <w:rsid w:val="000F77E9"/>
    <w:rsid w:val="000F78D3"/>
    <w:rsid w:val="001001AC"/>
    <w:rsid w:val="00100486"/>
    <w:rsid w:val="00101C69"/>
    <w:rsid w:val="00101E61"/>
    <w:rsid w:val="00102FFA"/>
    <w:rsid w:val="00103217"/>
    <w:rsid w:val="00103E0F"/>
    <w:rsid w:val="001040CD"/>
    <w:rsid w:val="00104989"/>
    <w:rsid w:val="001057AD"/>
    <w:rsid w:val="00105D15"/>
    <w:rsid w:val="00105DD0"/>
    <w:rsid w:val="001063BA"/>
    <w:rsid w:val="001073F9"/>
    <w:rsid w:val="00107BD4"/>
    <w:rsid w:val="00107ECB"/>
    <w:rsid w:val="00110001"/>
    <w:rsid w:val="0011016B"/>
    <w:rsid w:val="00110247"/>
    <w:rsid w:val="00110885"/>
    <w:rsid w:val="001124B9"/>
    <w:rsid w:val="001124D6"/>
    <w:rsid w:val="00112FEE"/>
    <w:rsid w:val="00113023"/>
    <w:rsid w:val="001130FD"/>
    <w:rsid w:val="00114A5E"/>
    <w:rsid w:val="00114D06"/>
    <w:rsid w:val="0011764E"/>
    <w:rsid w:val="001209A0"/>
    <w:rsid w:val="0012169B"/>
    <w:rsid w:val="00122E5F"/>
    <w:rsid w:val="0012338F"/>
    <w:rsid w:val="00123BF8"/>
    <w:rsid w:val="00125D9A"/>
    <w:rsid w:val="00125FAA"/>
    <w:rsid w:val="001265BB"/>
    <w:rsid w:val="00126A8A"/>
    <w:rsid w:val="00127A44"/>
    <w:rsid w:val="00127A8B"/>
    <w:rsid w:val="00127B2E"/>
    <w:rsid w:val="00127BB5"/>
    <w:rsid w:val="0013153D"/>
    <w:rsid w:val="00132761"/>
    <w:rsid w:val="00132FFB"/>
    <w:rsid w:val="00134CA4"/>
    <w:rsid w:val="00136652"/>
    <w:rsid w:val="00137488"/>
    <w:rsid w:val="001379BE"/>
    <w:rsid w:val="00137C3C"/>
    <w:rsid w:val="00140742"/>
    <w:rsid w:val="00140B94"/>
    <w:rsid w:val="001413EB"/>
    <w:rsid w:val="00142465"/>
    <w:rsid w:val="00142CD6"/>
    <w:rsid w:val="00143758"/>
    <w:rsid w:val="001446E4"/>
    <w:rsid w:val="00144A8C"/>
    <w:rsid w:val="00145093"/>
    <w:rsid w:val="00145257"/>
    <w:rsid w:val="0014539F"/>
    <w:rsid w:val="00145609"/>
    <w:rsid w:val="001456E0"/>
    <w:rsid w:val="00145F93"/>
    <w:rsid w:val="001461C6"/>
    <w:rsid w:val="001465AD"/>
    <w:rsid w:val="001466EA"/>
    <w:rsid w:val="00146DFE"/>
    <w:rsid w:val="001472DD"/>
    <w:rsid w:val="00147AE2"/>
    <w:rsid w:val="00150353"/>
    <w:rsid w:val="001506CA"/>
    <w:rsid w:val="00150DD1"/>
    <w:rsid w:val="00151DD9"/>
    <w:rsid w:val="001527E1"/>
    <w:rsid w:val="00152C85"/>
    <w:rsid w:val="00153160"/>
    <w:rsid w:val="00153A1A"/>
    <w:rsid w:val="00154DCE"/>
    <w:rsid w:val="00155B90"/>
    <w:rsid w:val="00155E23"/>
    <w:rsid w:val="00156673"/>
    <w:rsid w:val="00157BD0"/>
    <w:rsid w:val="00157E32"/>
    <w:rsid w:val="00157EF7"/>
    <w:rsid w:val="00160069"/>
    <w:rsid w:val="0016135F"/>
    <w:rsid w:val="00163A04"/>
    <w:rsid w:val="00163CFD"/>
    <w:rsid w:val="00164A98"/>
    <w:rsid w:val="00164E73"/>
    <w:rsid w:val="00165A21"/>
    <w:rsid w:val="00166306"/>
    <w:rsid w:val="0016696B"/>
    <w:rsid w:val="00166C42"/>
    <w:rsid w:val="00166CB4"/>
    <w:rsid w:val="00167CCE"/>
    <w:rsid w:val="00167FA1"/>
    <w:rsid w:val="00170162"/>
    <w:rsid w:val="00170ADF"/>
    <w:rsid w:val="00170D7C"/>
    <w:rsid w:val="00171524"/>
    <w:rsid w:val="00171BFA"/>
    <w:rsid w:val="00172204"/>
    <w:rsid w:val="00173E20"/>
    <w:rsid w:val="00174983"/>
    <w:rsid w:val="00174EFD"/>
    <w:rsid w:val="00175D83"/>
    <w:rsid w:val="0017633D"/>
    <w:rsid w:val="0017729A"/>
    <w:rsid w:val="001801C2"/>
    <w:rsid w:val="001802CE"/>
    <w:rsid w:val="00180374"/>
    <w:rsid w:val="0018058C"/>
    <w:rsid w:val="00180B39"/>
    <w:rsid w:val="00180B8E"/>
    <w:rsid w:val="00180F29"/>
    <w:rsid w:val="00182F25"/>
    <w:rsid w:val="00185003"/>
    <w:rsid w:val="00185165"/>
    <w:rsid w:val="00187991"/>
    <w:rsid w:val="00190CDE"/>
    <w:rsid w:val="001926AE"/>
    <w:rsid w:val="0019379D"/>
    <w:rsid w:val="00193964"/>
    <w:rsid w:val="00194D39"/>
    <w:rsid w:val="00195CAE"/>
    <w:rsid w:val="00196165"/>
    <w:rsid w:val="00196461"/>
    <w:rsid w:val="00196EFE"/>
    <w:rsid w:val="001975BB"/>
    <w:rsid w:val="00197B46"/>
    <w:rsid w:val="00197C89"/>
    <w:rsid w:val="00197F9A"/>
    <w:rsid w:val="001A09FF"/>
    <w:rsid w:val="001A15D2"/>
    <w:rsid w:val="001A167E"/>
    <w:rsid w:val="001A269C"/>
    <w:rsid w:val="001A4742"/>
    <w:rsid w:val="001A58F2"/>
    <w:rsid w:val="001A5E6D"/>
    <w:rsid w:val="001A65E9"/>
    <w:rsid w:val="001A67E9"/>
    <w:rsid w:val="001A69C3"/>
    <w:rsid w:val="001A73BB"/>
    <w:rsid w:val="001B1FD4"/>
    <w:rsid w:val="001B3106"/>
    <w:rsid w:val="001B46FA"/>
    <w:rsid w:val="001B572D"/>
    <w:rsid w:val="001B5A00"/>
    <w:rsid w:val="001B5E33"/>
    <w:rsid w:val="001B5ED0"/>
    <w:rsid w:val="001B5F87"/>
    <w:rsid w:val="001B5F8D"/>
    <w:rsid w:val="001B7DD8"/>
    <w:rsid w:val="001C09C8"/>
    <w:rsid w:val="001C1C46"/>
    <w:rsid w:val="001C1D02"/>
    <w:rsid w:val="001C2F08"/>
    <w:rsid w:val="001C3239"/>
    <w:rsid w:val="001C3412"/>
    <w:rsid w:val="001C3844"/>
    <w:rsid w:val="001C3EC6"/>
    <w:rsid w:val="001C4B58"/>
    <w:rsid w:val="001C729A"/>
    <w:rsid w:val="001D086C"/>
    <w:rsid w:val="001D0C1E"/>
    <w:rsid w:val="001D0E3A"/>
    <w:rsid w:val="001D13A9"/>
    <w:rsid w:val="001D15CA"/>
    <w:rsid w:val="001D27D0"/>
    <w:rsid w:val="001D27E2"/>
    <w:rsid w:val="001D344B"/>
    <w:rsid w:val="001D3A27"/>
    <w:rsid w:val="001D41EC"/>
    <w:rsid w:val="001D4CB6"/>
    <w:rsid w:val="001D4D04"/>
    <w:rsid w:val="001D566B"/>
    <w:rsid w:val="001D5840"/>
    <w:rsid w:val="001D635E"/>
    <w:rsid w:val="001D6818"/>
    <w:rsid w:val="001D750B"/>
    <w:rsid w:val="001D751B"/>
    <w:rsid w:val="001D7FB3"/>
    <w:rsid w:val="001E003A"/>
    <w:rsid w:val="001E0B27"/>
    <w:rsid w:val="001E1736"/>
    <w:rsid w:val="001E4559"/>
    <w:rsid w:val="001E4596"/>
    <w:rsid w:val="001E468B"/>
    <w:rsid w:val="001E48CF"/>
    <w:rsid w:val="001E6B07"/>
    <w:rsid w:val="001F05D2"/>
    <w:rsid w:val="001F0E56"/>
    <w:rsid w:val="001F169D"/>
    <w:rsid w:val="001F2191"/>
    <w:rsid w:val="001F3144"/>
    <w:rsid w:val="001F4344"/>
    <w:rsid w:val="001F44AA"/>
    <w:rsid w:val="001F53A0"/>
    <w:rsid w:val="001F5750"/>
    <w:rsid w:val="001F619E"/>
    <w:rsid w:val="001F689E"/>
    <w:rsid w:val="001F6B74"/>
    <w:rsid w:val="00200457"/>
    <w:rsid w:val="00200614"/>
    <w:rsid w:val="002008E7"/>
    <w:rsid w:val="00201505"/>
    <w:rsid w:val="0020150F"/>
    <w:rsid w:val="00202E14"/>
    <w:rsid w:val="00202F64"/>
    <w:rsid w:val="0020313C"/>
    <w:rsid w:val="00203DD5"/>
    <w:rsid w:val="00204177"/>
    <w:rsid w:val="0020612D"/>
    <w:rsid w:val="002062B3"/>
    <w:rsid w:val="002073AE"/>
    <w:rsid w:val="002074D3"/>
    <w:rsid w:val="00207563"/>
    <w:rsid w:val="002075A8"/>
    <w:rsid w:val="00210403"/>
    <w:rsid w:val="002108DF"/>
    <w:rsid w:val="00210932"/>
    <w:rsid w:val="00210F0A"/>
    <w:rsid w:val="00211663"/>
    <w:rsid w:val="00211D4E"/>
    <w:rsid w:val="00212061"/>
    <w:rsid w:val="0021236F"/>
    <w:rsid w:val="0021273E"/>
    <w:rsid w:val="00212945"/>
    <w:rsid w:val="002129D9"/>
    <w:rsid w:val="00213735"/>
    <w:rsid w:val="0021480F"/>
    <w:rsid w:val="00214830"/>
    <w:rsid w:val="002158AF"/>
    <w:rsid w:val="00217801"/>
    <w:rsid w:val="00217AFA"/>
    <w:rsid w:val="00220466"/>
    <w:rsid w:val="00220B47"/>
    <w:rsid w:val="00220F31"/>
    <w:rsid w:val="00221010"/>
    <w:rsid w:val="0022204D"/>
    <w:rsid w:val="00222591"/>
    <w:rsid w:val="00222EC0"/>
    <w:rsid w:val="00223D64"/>
    <w:rsid w:val="00223F5E"/>
    <w:rsid w:val="00224977"/>
    <w:rsid w:val="00224A55"/>
    <w:rsid w:val="00225510"/>
    <w:rsid w:val="00225583"/>
    <w:rsid w:val="0022581C"/>
    <w:rsid w:val="00225E5E"/>
    <w:rsid w:val="00227897"/>
    <w:rsid w:val="002279A2"/>
    <w:rsid w:val="00227A3C"/>
    <w:rsid w:val="00227EC1"/>
    <w:rsid w:val="002300A4"/>
    <w:rsid w:val="002303D5"/>
    <w:rsid w:val="0023080C"/>
    <w:rsid w:val="00230C3F"/>
    <w:rsid w:val="002310B2"/>
    <w:rsid w:val="00231B57"/>
    <w:rsid w:val="00232018"/>
    <w:rsid w:val="002339EE"/>
    <w:rsid w:val="00233C34"/>
    <w:rsid w:val="00234687"/>
    <w:rsid w:val="0023555A"/>
    <w:rsid w:val="002376B6"/>
    <w:rsid w:val="00237B5E"/>
    <w:rsid w:val="00240301"/>
    <w:rsid w:val="00240356"/>
    <w:rsid w:val="00240598"/>
    <w:rsid w:val="00240AE3"/>
    <w:rsid w:val="0024119A"/>
    <w:rsid w:val="00241DD3"/>
    <w:rsid w:val="0024233E"/>
    <w:rsid w:val="00243DA8"/>
    <w:rsid w:val="00243FBB"/>
    <w:rsid w:val="00244898"/>
    <w:rsid w:val="0024497E"/>
    <w:rsid w:val="0024565C"/>
    <w:rsid w:val="00250381"/>
    <w:rsid w:val="00250503"/>
    <w:rsid w:val="00250AA5"/>
    <w:rsid w:val="002535E2"/>
    <w:rsid w:val="00253E58"/>
    <w:rsid w:val="002542BD"/>
    <w:rsid w:val="002544A4"/>
    <w:rsid w:val="00255F86"/>
    <w:rsid w:val="00256748"/>
    <w:rsid w:val="00256C3C"/>
    <w:rsid w:val="00257A80"/>
    <w:rsid w:val="00257D7E"/>
    <w:rsid w:val="0026031B"/>
    <w:rsid w:val="00260766"/>
    <w:rsid w:val="00261252"/>
    <w:rsid w:val="00262B73"/>
    <w:rsid w:val="002637F7"/>
    <w:rsid w:val="00263EBB"/>
    <w:rsid w:val="00264344"/>
    <w:rsid w:val="00264D91"/>
    <w:rsid w:val="00265969"/>
    <w:rsid w:val="0026646F"/>
    <w:rsid w:val="00266974"/>
    <w:rsid w:val="00266A99"/>
    <w:rsid w:val="00266C2A"/>
    <w:rsid w:val="00266D4F"/>
    <w:rsid w:val="00270114"/>
    <w:rsid w:val="002709E0"/>
    <w:rsid w:val="00271CAC"/>
    <w:rsid w:val="00271E7D"/>
    <w:rsid w:val="002724F2"/>
    <w:rsid w:val="00272562"/>
    <w:rsid w:val="0027275E"/>
    <w:rsid w:val="00272A95"/>
    <w:rsid w:val="00272C86"/>
    <w:rsid w:val="0027530B"/>
    <w:rsid w:val="0027588B"/>
    <w:rsid w:val="00275C46"/>
    <w:rsid w:val="00276E7B"/>
    <w:rsid w:val="00277DE6"/>
    <w:rsid w:val="0028054D"/>
    <w:rsid w:val="00280843"/>
    <w:rsid w:val="00280CB0"/>
    <w:rsid w:val="002810B5"/>
    <w:rsid w:val="00281C10"/>
    <w:rsid w:val="00281DEA"/>
    <w:rsid w:val="002828EC"/>
    <w:rsid w:val="00283181"/>
    <w:rsid w:val="0028386E"/>
    <w:rsid w:val="00284924"/>
    <w:rsid w:val="00285D8B"/>
    <w:rsid w:val="00286E31"/>
    <w:rsid w:val="00286E89"/>
    <w:rsid w:val="00287026"/>
    <w:rsid w:val="002875EA"/>
    <w:rsid w:val="002878EB"/>
    <w:rsid w:val="002901F1"/>
    <w:rsid w:val="0029097A"/>
    <w:rsid w:val="00291F8B"/>
    <w:rsid w:val="00292582"/>
    <w:rsid w:val="0029273B"/>
    <w:rsid w:val="00293495"/>
    <w:rsid w:val="002943B0"/>
    <w:rsid w:val="00296F9E"/>
    <w:rsid w:val="00297131"/>
    <w:rsid w:val="002979BA"/>
    <w:rsid w:val="002A0C18"/>
    <w:rsid w:val="002A1074"/>
    <w:rsid w:val="002A253D"/>
    <w:rsid w:val="002A2668"/>
    <w:rsid w:val="002A284E"/>
    <w:rsid w:val="002A3F89"/>
    <w:rsid w:val="002A417D"/>
    <w:rsid w:val="002A563C"/>
    <w:rsid w:val="002A645F"/>
    <w:rsid w:val="002A6AFF"/>
    <w:rsid w:val="002A6CDA"/>
    <w:rsid w:val="002A712A"/>
    <w:rsid w:val="002A7288"/>
    <w:rsid w:val="002A7A92"/>
    <w:rsid w:val="002B0134"/>
    <w:rsid w:val="002B0C23"/>
    <w:rsid w:val="002B100C"/>
    <w:rsid w:val="002B1720"/>
    <w:rsid w:val="002B18A5"/>
    <w:rsid w:val="002B1D1A"/>
    <w:rsid w:val="002B1EEB"/>
    <w:rsid w:val="002B246C"/>
    <w:rsid w:val="002B2EC7"/>
    <w:rsid w:val="002B3CCA"/>
    <w:rsid w:val="002B3F4A"/>
    <w:rsid w:val="002B4ED6"/>
    <w:rsid w:val="002B55D4"/>
    <w:rsid w:val="002B68F4"/>
    <w:rsid w:val="002B7716"/>
    <w:rsid w:val="002B7968"/>
    <w:rsid w:val="002C010D"/>
    <w:rsid w:val="002C0457"/>
    <w:rsid w:val="002C05A0"/>
    <w:rsid w:val="002C0755"/>
    <w:rsid w:val="002C0AC4"/>
    <w:rsid w:val="002C132B"/>
    <w:rsid w:val="002C1E84"/>
    <w:rsid w:val="002C34A5"/>
    <w:rsid w:val="002C5117"/>
    <w:rsid w:val="002C5133"/>
    <w:rsid w:val="002C5296"/>
    <w:rsid w:val="002C5450"/>
    <w:rsid w:val="002C5489"/>
    <w:rsid w:val="002C59A5"/>
    <w:rsid w:val="002C656B"/>
    <w:rsid w:val="002C6D0E"/>
    <w:rsid w:val="002C712E"/>
    <w:rsid w:val="002C7847"/>
    <w:rsid w:val="002D01D0"/>
    <w:rsid w:val="002D1FB6"/>
    <w:rsid w:val="002D21CB"/>
    <w:rsid w:val="002D273B"/>
    <w:rsid w:val="002D2DBF"/>
    <w:rsid w:val="002D32B3"/>
    <w:rsid w:val="002D3E36"/>
    <w:rsid w:val="002D569B"/>
    <w:rsid w:val="002D56B8"/>
    <w:rsid w:val="002D5E68"/>
    <w:rsid w:val="002D605C"/>
    <w:rsid w:val="002D6DB9"/>
    <w:rsid w:val="002D732F"/>
    <w:rsid w:val="002D7B97"/>
    <w:rsid w:val="002E0BAB"/>
    <w:rsid w:val="002E1188"/>
    <w:rsid w:val="002E164A"/>
    <w:rsid w:val="002E3CE9"/>
    <w:rsid w:val="002E4BCA"/>
    <w:rsid w:val="002E4FD5"/>
    <w:rsid w:val="002E5AE2"/>
    <w:rsid w:val="002E5F41"/>
    <w:rsid w:val="002E6CD2"/>
    <w:rsid w:val="002E709B"/>
    <w:rsid w:val="002E7210"/>
    <w:rsid w:val="002F15AE"/>
    <w:rsid w:val="002F1C88"/>
    <w:rsid w:val="002F233B"/>
    <w:rsid w:val="002F288A"/>
    <w:rsid w:val="002F3018"/>
    <w:rsid w:val="002F370A"/>
    <w:rsid w:val="002F3A68"/>
    <w:rsid w:val="002F3BDD"/>
    <w:rsid w:val="002F6882"/>
    <w:rsid w:val="002F7185"/>
    <w:rsid w:val="002F77DD"/>
    <w:rsid w:val="003021AE"/>
    <w:rsid w:val="00302AC9"/>
    <w:rsid w:val="00303587"/>
    <w:rsid w:val="00303770"/>
    <w:rsid w:val="00304494"/>
    <w:rsid w:val="00304BBD"/>
    <w:rsid w:val="00305552"/>
    <w:rsid w:val="003059AB"/>
    <w:rsid w:val="00306689"/>
    <w:rsid w:val="00306B19"/>
    <w:rsid w:val="00307ED3"/>
    <w:rsid w:val="003115BE"/>
    <w:rsid w:val="003123E4"/>
    <w:rsid w:val="0031246C"/>
    <w:rsid w:val="00314107"/>
    <w:rsid w:val="00314789"/>
    <w:rsid w:val="00316148"/>
    <w:rsid w:val="00317288"/>
    <w:rsid w:val="00317E26"/>
    <w:rsid w:val="003205C5"/>
    <w:rsid w:val="00320F87"/>
    <w:rsid w:val="00321278"/>
    <w:rsid w:val="00321736"/>
    <w:rsid w:val="003218B0"/>
    <w:rsid w:val="00323502"/>
    <w:rsid w:val="00324E8C"/>
    <w:rsid w:val="0032500C"/>
    <w:rsid w:val="0032504C"/>
    <w:rsid w:val="003251D6"/>
    <w:rsid w:val="0032661D"/>
    <w:rsid w:val="00326CD4"/>
    <w:rsid w:val="00327496"/>
    <w:rsid w:val="00327FF3"/>
    <w:rsid w:val="00330CEC"/>
    <w:rsid w:val="00330F65"/>
    <w:rsid w:val="0033121F"/>
    <w:rsid w:val="00331833"/>
    <w:rsid w:val="00331B98"/>
    <w:rsid w:val="00332078"/>
    <w:rsid w:val="00333355"/>
    <w:rsid w:val="0033339F"/>
    <w:rsid w:val="003335C0"/>
    <w:rsid w:val="003337D0"/>
    <w:rsid w:val="00334162"/>
    <w:rsid w:val="00337851"/>
    <w:rsid w:val="003412C3"/>
    <w:rsid w:val="003417D9"/>
    <w:rsid w:val="00343255"/>
    <w:rsid w:val="003432A7"/>
    <w:rsid w:val="003445F8"/>
    <w:rsid w:val="00346530"/>
    <w:rsid w:val="00346D8F"/>
    <w:rsid w:val="003506CE"/>
    <w:rsid w:val="0035086B"/>
    <w:rsid w:val="003512A7"/>
    <w:rsid w:val="00351459"/>
    <w:rsid w:val="00351C53"/>
    <w:rsid w:val="003522F6"/>
    <w:rsid w:val="003528A5"/>
    <w:rsid w:val="00353693"/>
    <w:rsid w:val="00353875"/>
    <w:rsid w:val="0035418D"/>
    <w:rsid w:val="003564C3"/>
    <w:rsid w:val="00356F56"/>
    <w:rsid w:val="003572D3"/>
    <w:rsid w:val="00360B52"/>
    <w:rsid w:val="00361427"/>
    <w:rsid w:val="00361870"/>
    <w:rsid w:val="003631FF"/>
    <w:rsid w:val="00363328"/>
    <w:rsid w:val="00364025"/>
    <w:rsid w:val="0036429D"/>
    <w:rsid w:val="003643DD"/>
    <w:rsid w:val="0036488E"/>
    <w:rsid w:val="00364CC5"/>
    <w:rsid w:val="00365A52"/>
    <w:rsid w:val="00366F44"/>
    <w:rsid w:val="00367036"/>
    <w:rsid w:val="003670FB"/>
    <w:rsid w:val="00367FF1"/>
    <w:rsid w:val="00370453"/>
    <w:rsid w:val="00371B37"/>
    <w:rsid w:val="00371E12"/>
    <w:rsid w:val="00371FEF"/>
    <w:rsid w:val="00372E24"/>
    <w:rsid w:val="00373196"/>
    <w:rsid w:val="00373830"/>
    <w:rsid w:val="00373C4D"/>
    <w:rsid w:val="00373E50"/>
    <w:rsid w:val="003740D4"/>
    <w:rsid w:val="00374626"/>
    <w:rsid w:val="00374B5B"/>
    <w:rsid w:val="00374F8D"/>
    <w:rsid w:val="00375D55"/>
    <w:rsid w:val="00375EE3"/>
    <w:rsid w:val="00377258"/>
    <w:rsid w:val="00377334"/>
    <w:rsid w:val="003806FA"/>
    <w:rsid w:val="00380E32"/>
    <w:rsid w:val="0038168B"/>
    <w:rsid w:val="00382F2E"/>
    <w:rsid w:val="00384F21"/>
    <w:rsid w:val="0038592B"/>
    <w:rsid w:val="00385A83"/>
    <w:rsid w:val="00385A87"/>
    <w:rsid w:val="0038628D"/>
    <w:rsid w:val="0038747B"/>
    <w:rsid w:val="00390BE7"/>
    <w:rsid w:val="00391430"/>
    <w:rsid w:val="003917BB"/>
    <w:rsid w:val="00392FA7"/>
    <w:rsid w:val="00393038"/>
    <w:rsid w:val="00393EAF"/>
    <w:rsid w:val="00394920"/>
    <w:rsid w:val="00395183"/>
    <w:rsid w:val="0039535D"/>
    <w:rsid w:val="003961F5"/>
    <w:rsid w:val="00396394"/>
    <w:rsid w:val="003969EB"/>
    <w:rsid w:val="00397185"/>
    <w:rsid w:val="00397939"/>
    <w:rsid w:val="00397A4F"/>
    <w:rsid w:val="003A0803"/>
    <w:rsid w:val="003A166D"/>
    <w:rsid w:val="003A1CA5"/>
    <w:rsid w:val="003A27EC"/>
    <w:rsid w:val="003A3A01"/>
    <w:rsid w:val="003A4208"/>
    <w:rsid w:val="003A422F"/>
    <w:rsid w:val="003A5CC6"/>
    <w:rsid w:val="003A692C"/>
    <w:rsid w:val="003B1A66"/>
    <w:rsid w:val="003B1EA7"/>
    <w:rsid w:val="003B2989"/>
    <w:rsid w:val="003B3659"/>
    <w:rsid w:val="003B3ECA"/>
    <w:rsid w:val="003B4989"/>
    <w:rsid w:val="003B5362"/>
    <w:rsid w:val="003B5AA9"/>
    <w:rsid w:val="003B651D"/>
    <w:rsid w:val="003B656B"/>
    <w:rsid w:val="003B716C"/>
    <w:rsid w:val="003B784E"/>
    <w:rsid w:val="003C0110"/>
    <w:rsid w:val="003C069B"/>
    <w:rsid w:val="003C152F"/>
    <w:rsid w:val="003C3155"/>
    <w:rsid w:val="003C37AE"/>
    <w:rsid w:val="003C507E"/>
    <w:rsid w:val="003C5A55"/>
    <w:rsid w:val="003C65BB"/>
    <w:rsid w:val="003C68F3"/>
    <w:rsid w:val="003C71E9"/>
    <w:rsid w:val="003C7C34"/>
    <w:rsid w:val="003C7DDC"/>
    <w:rsid w:val="003C7F60"/>
    <w:rsid w:val="003D02E8"/>
    <w:rsid w:val="003D0475"/>
    <w:rsid w:val="003D07F0"/>
    <w:rsid w:val="003D107D"/>
    <w:rsid w:val="003D1105"/>
    <w:rsid w:val="003D180F"/>
    <w:rsid w:val="003D1DED"/>
    <w:rsid w:val="003D324B"/>
    <w:rsid w:val="003D3635"/>
    <w:rsid w:val="003D37DD"/>
    <w:rsid w:val="003D3D85"/>
    <w:rsid w:val="003D3F6F"/>
    <w:rsid w:val="003D44A9"/>
    <w:rsid w:val="003D5175"/>
    <w:rsid w:val="003D530B"/>
    <w:rsid w:val="003D6448"/>
    <w:rsid w:val="003D661E"/>
    <w:rsid w:val="003D6B48"/>
    <w:rsid w:val="003D6E9D"/>
    <w:rsid w:val="003D71FF"/>
    <w:rsid w:val="003D7C98"/>
    <w:rsid w:val="003D7DF6"/>
    <w:rsid w:val="003E141C"/>
    <w:rsid w:val="003E2452"/>
    <w:rsid w:val="003E24E2"/>
    <w:rsid w:val="003E3533"/>
    <w:rsid w:val="003E48F2"/>
    <w:rsid w:val="003E4A16"/>
    <w:rsid w:val="003E50FE"/>
    <w:rsid w:val="003E5D1D"/>
    <w:rsid w:val="003E76CC"/>
    <w:rsid w:val="003F00CC"/>
    <w:rsid w:val="003F2238"/>
    <w:rsid w:val="003F3859"/>
    <w:rsid w:val="003F423F"/>
    <w:rsid w:val="003F4C4C"/>
    <w:rsid w:val="003F530D"/>
    <w:rsid w:val="003F56ED"/>
    <w:rsid w:val="003F5BA2"/>
    <w:rsid w:val="003F619F"/>
    <w:rsid w:val="003F6EB6"/>
    <w:rsid w:val="003F6F73"/>
    <w:rsid w:val="003F739C"/>
    <w:rsid w:val="003F73D1"/>
    <w:rsid w:val="004000B2"/>
    <w:rsid w:val="00404006"/>
    <w:rsid w:val="00405C57"/>
    <w:rsid w:val="0040680A"/>
    <w:rsid w:val="00407B1B"/>
    <w:rsid w:val="00410CC6"/>
    <w:rsid w:val="004115C1"/>
    <w:rsid w:val="00411848"/>
    <w:rsid w:val="0041310E"/>
    <w:rsid w:val="0041339E"/>
    <w:rsid w:val="004133C4"/>
    <w:rsid w:val="00413C4D"/>
    <w:rsid w:val="00413DE2"/>
    <w:rsid w:val="00414060"/>
    <w:rsid w:val="00414DDE"/>
    <w:rsid w:val="004151AA"/>
    <w:rsid w:val="00416195"/>
    <w:rsid w:val="004167E5"/>
    <w:rsid w:val="00420F0D"/>
    <w:rsid w:val="00421233"/>
    <w:rsid w:val="00421BD7"/>
    <w:rsid w:val="00421DE5"/>
    <w:rsid w:val="00421E6A"/>
    <w:rsid w:val="00422D01"/>
    <w:rsid w:val="00422F31"/>
    <w:rsid w:val="00424731"/>
    <w:rsid w:val="00424974"/>
    <w:rsid w:val="004250CE"/>
    <w:rsid w:val="004250D2"/>
    <w:rsid w:val="00425CE0"/>
    <w:rsid w:val="004261DD"/>
    <w:rsid w:val="004263D0"/>
    <w:rsid w:val="00426C36"/>
    <w:rsid w:val="00427160"/>
    <w:rsid w:val="0042764B"/>
    <w:rsid w:val="0043032E"/>
    <w:rsid w:val="00430FBF"/>
    <w:rsid w:val="00432532"/>
    <w:rsid w:val="004327AF"/>
    <w:rsid w:val="00432E8A"/>
    <w:rsid w:val="004342D4"/>
    <w:rsid w:val="004347F7"/>
    <w:rsid w:val="00434C9F"/>
    <w:rsid w:val="00435E73"/>
    <w:rsid w:val="00437866"/>
    <w:rsid w:val="00440398"/>
    <w:rsid w:val="004412AD"/>
    <w:rsid w:val="004413B5"/>
    <w:rsid w:val="00441498"/>
    <w:rsid w:val="0044161D"/>
    <w:rsid w:val="004424C5"/>
    <w:rsid w:val="0044275B"/>
    <w:rsid w:val="00443823"/>
    <w:rsid w:val="00443E41"/>
    <w:rsid w:val="00444E46"/>
    <w:rsid w:val="00446729"/>
    <w:rsid w:val="00446BF7"/>
    <w:rsid w:val="00446DAD"/>
    <w:rsid w:val="00447104"/>
    <w:rsid w:val="00447BC2"/>
    <w:rsid w:val="00450246"/>
    <w:rsid w:val="0045047E"/>
    <w:rsid w:val="00450D5C"/>
    <w:rsid w:val="00450F0C"/>
    <w:rsid w:val="00452E2D"/>
    <w:rsid w:val="00453BF0"/>
    <w:rsid w:val="00453FB2"/>
    <w:rsid w:val="00454314"/>
    <w:rsid w:val="00454731"/>
    <w:rsid w:val="0045514D"/>
    <w:rsid w:val="00455286"/>
    <w:rsid w:val="00456544"/>
    <w:rsid w:val="004565BE"/>
    <w:rsid w:val="00456D19"/>
    <w:rsid w:val="00456EDA"/>
    <w:rsid w:val="004608E0"/>
    <w:rsid w:val="00460A9C"/>
    <w:rsid w:val="0046118B"/>
    <w:rsid w:val="00461A5F"/>
    <w:rsid w:val="00462D02"/>
    <w:rsid w:val="004632A7"/>
    <w:rsid w:val="00463324"/>
    <w:rsid w:val="00463C21"/>
    <w:rsid w:val="00463C89"/>
    <w:rsid w:val="004645BC"/>
    <w:rsid w:val="00464A38"/>
    <w:rsid w:val="00464BCD"/>
    <w:rsid w:val="00465201"/>
    <w:rsid w:val="00465562"/>
    <w:rsid w:val="004667B3"/>
    <w:rsid w:val="00466D05"/>
    <w:rsid w:val="004670D8"/>
    <w:rsid w:val="00467884"/>
    <w:rsid w:val="0047051C"/>
    <w:rsid w:val="0047306A"/>
    <w:rsid w:val="004735DD"/>
    <w:rsid w:val="00473E12"/>
    <w:rsid w:val="00473F69"/>
    <w:rsid w:val="00474424"/>
    <w:rsid w:val="00474A15"/>
    <w:rsid w:val="00476652"/>
    <w:rsid w:val="00477138"/>
    <w:rsid w:val="00477AC3"/>
    <w:rsid w:val="00480432"/>
    <w:rsid w:val="004810F0"/>
    <w:rsid w:val="00482A6E"/>
    <w:rsid w:val="00483B68"/>
    <w:rsid w:val="00484177"/>
    <w:rsid w:val="00484328"/>
    <w:rsid w:val="00484587"/>
    <w:rsid w:val="00485455"/>
    <w:rsid w:val="00485762"/>
    <w:rsid w:val="00487FC7"/>
    <w:rsid w:val="00490BA8"/>
    <w:rsid w:val="0049116E"/>
    <w:rsid w:val="004912BA"/>
    <w:rsid w:val="00491A82"/>
    <w:rsid w:val="004938F3"/>
    <w:rsid w:val="00494154"/>
    <w:rsid w:val="00495CC0"/>
    <w:rsid w:val="00496515"/>
    <w:rsid w:val="00496C4E"/>
    <w:rsid w:val="004971C5"/>
    <w:rsid w:val="00497CF6"/>
    <w:rsid w:val="00497FA4"/>
    <w:rsid w:val="004A1AEE"/>
    <w:rsid w:val="004A2214"/>
    <w:rsid w:val="004A4A26"/>
    <w:rsid w:val="004A4C84"/>
    <w:rsid w:val="004A561E"/>
    <w:rsid w:val="004A585F"/>
    <w:rsid w:val="004A5B03"/>
    <w:rsid w:val="004A643B"/>
    <w:rsid w:val="004A6B46"/>
    <w:rsid w:val="004A6B7E"/>
    <w:rsid w:val="004B0F36"/>
    <w:rsid w:val="004B0F95"/>
    <w:rsid w:val="004B1EAF"/>
    <w:rsid w:val="004B4061"/>
    <w:rsid w:val="004B6370"/>
    <w:rsid w:val="004B64D9"/>
    <w:rsid w:val="004C06EE"/>
    <w:rsid w:val="004C093F"/>
    <w:rsid w:val="004C0FE0"/>
    <w:rsid w:val="004C11D2"/>
    <w:rsid w:val="004C1929"/>
    <w:rsid w:val="004C2480"/>
    <w:rsid w:val="004C302E"/>
    <w:rsid w:val="004C373F"/>
    <w:rsid w:val="004C48F4"/>
    <w:rsid w:val="004C56FC"/>
    <w:rsid w:val="004C621B"/>
    <w:rsid w:val="004C69E5"/>
    <w:rsid w:val="004C7AA0"/>
    <w:rsid w:val="004D19E1"/>
    <w:rsid w:val="004D1B89"/>
    <w:rsid w:val="004D1CF8"/>
    <w:rsid w:val="004D28B9"/>
    <w:rsid w:val="004D2DDE"/>
    <w:rsid w:val="004D30F0"/>
    <w:rsid w:val="004D47B5"/>
    <w:rsid w:val="004D4B3B"/>
    <w:rsid w:val="004D4B77"/>
    <w:rsid w:val="004D4BC1"/>
    <w:rsid w:val="004D4C64"/>
    <w:rsid w:val="004D54C9"/>
    <w:rsid w:val="004D56F3"/>
    <w:rsid w:val="004D5A24"/>
    <w:rsid w:val="004D750D"/>
    <w:rsid w:val="004D76E6"/>
    <w:rsid w:val="004D7CE5"/>
    <w:rsid w:val="004E18A2"/>
    <w:rsid w:val="004E1DCA"/>
    <w:rsid w:val="004E3282"/>
    <w:rsid w:val="004E3284"/>
    <w:rsid w:val="004E368F"/>
    <w:rsid w:val="004E3E33"/>
    <w:rsid w:val="004E40AB"/>
    <w:rsid w:val="004E4473"/>
    <w:rsid w:val="004E5A02"/>
    <w:rsid w:val="004E6AF3"/>
    <w:rsid w:val="004E6DF3"/>
    <w:rsid w:val="004E6F3F"/>
    <w:rsid w:val="004E7399"/>
    <w:rsid w:val="004E7495"/>
    <w:rsid w:val="004F0A17"/>
    <w:rsid w:val="004F17B1"/>
    <w:rsid w:val="004F2AC4"/>
    <w:rsid w:val="004F33CE"/>
    <w:rsid w:val="004F53DB"/>
    <w:rsid w:val="004F565C"/>
    <w:rsid w:val="0050123C"/>
    <w:rsid w:val="00501B36"/>
    <w:rsid w:val="00501F46"/>
    <w:rsid w:val="005025D8"/>
    <w:rsid w:val="00502B2F"/>
    <w:rsid w:val="00502EF6"/>
    <w:rsid w:val="005033D5"/>
    <w:rsid w:val="005046B0"/>
    <w:rsid w:val="00505D00"/>
    <w:rsid w:val="0050627C"/>
    <w:rsid w:val="005065E6"/>
    <w:rsid w:val="005072ED"/>
    <w:rsid w:val="0050754D"/>
    <w:rsid w:val="005077FE"/>
    <w:rsid w:val="00511526"/>
    <w:rsid w:val="00511989"/>
    <w:rsid w:val="00511A77"/>
    <w:rsid w:val="00511D9F"/>
    <w:rsid w:val="00512F79"/>
    <w:rsid w:val="00513150"/>
    <w:rsid w:val="00513A05"/>
    <w:rsid w:val="005154BE"/>
    <w:rsid w:val="0051565F"/>
    <w:rsid w:val="005157F0"/>
    <w:rsid w:val="00520848"/>
    <w:rsid w:val="00520879"/>
    <w:rsid w:val="00520BAC"/>
    <w:rsid w:val="00520F5C"/>
    <w:rsid w:val="00523D3D"/>
    <w:rsid w:val="00524B8A"/>
    <w:rsid w:val="005253DF"/>
    <w:rsid w:val="00525447"/>
    <w:rsid w:val="0052558C"/>
    <w:rsid w:val="005259C3"/>
    <w:rsid w:val="005301C4"/>
    <w:rsid w:val="00531B3A"/>
    <w:rsid w:val="00531BA8"/>
    <w:rsid w:val="00531CF8"/>
    <w:rsid w:val="00533199"/>
    <w:rsid w:val="00533B7C"/>
    <w:rsid w:val="00534582"/>
    <w:rsid w:val="0053499E"/>
    <w:rsid w:val="00534C31"/>
    <w:rsid w:val="005350C6"/>
    <w:rsid w:val="005350CA"/>
    <w:rsid w:val="0053558A"/>
    <w:rsid w:val="00536424"/>
    <w:rsid w:val="00536C00"/>
    <w:rsid w:val="00540A7D"/>
    <w:rsid w:val="00542282"/>
    <w:rsid w:val="005423A7"/>
    <w:rsid w:val="00542F5E"/>
    <w:rsid w:val="00543654"/>
    <w:rsid w:val="00543B6D"/>
    <w:rsid w:val="00543BE9"/>
    <w:rsid w:val="00543C81"/>
    <w:rsid w:val="00544102"/>
    <w:rsid w:val="00544AE8"/>
    <w:rsid w:val="00544D47"/>
    <w:rsid w:val="00546052"/>
    <w:rsid w:val="005462C0"/>
    <w:rsid w:val="00546339"/>
    <w:rsid w:val="00546BCC"/>
    <w:rsid w:val="0054735A"/>
    <w:rsid w:val="00547C95"/>
    <w:rsid w:val="00547ECC"/>
    <w:rsid w:val="00547F5B"/>
    <w:rsid w:val="0055047B"/>
    <w:rsid w:val="005511CD"/>
    <w:rsid w:val="00552F08"/>
    <w:rsid w:val="00552FE4"/>
    <w:rsid w:val="00554115"/>
    <w:rsid w:val="00554488"/>
    <w:rsid w:val="00554558"/>
    <w:rsid w:val="005546C5"/>
    <w:rsid w:val="00554D2F"/>
    <w:rsid w:val="00555985"/>
    <w:rsid w:val="00555AE0"/>
    <w:rsid w:val="00555B9E"/>
    <w:rsid w:val="005568DA"/>
    <w:rsid w:val="00556B4B"/>
    <w:rsid w:val="00556C5A"/>
    <w:rsid w:val="00556DB5"/>
    <w:rsid w:val="005606E9"/>
    <w:rsid w:val="00562754"/>
    <w:rsid w:val="00563862"/>
    <w:rsid w:val="005639D6"/>
    <w:rsid w:val="0056489A"/>
    <w:rsid w:val="00565192"/>
    <w:rsid w:val="0056622D"/>
    <w:rsid w:val="00566CA5"/>
    <w:rsid w:val="005672F9"/>
    <w:rsid w:val="005707F1"/>
    <w:rsid w:val="00570E7D"/>
    <w:rsid w:val="005710BA"/>
    <w:rsid w:val="00573289"/>
    <w:rsid w:val="00574C68"/>
    <w:rsid w:val="00575272"/>
    <w:rsid w:val="0057540A"/>
    <w:rsid w:val="00575798"/>
    <w:rsid w:val="00576C79"/>
    <w:rsid w:val="00577230"/>
    <w:rsid w:val="00577249"/>
    <w:rsid w:val="0058085D"/>
    <w:rsid w:val="00581041"/>
    <w:rsid w:val="0058121F"/>
    <w:rsid w:val="00581CFE"/>
    <w:rsid w:val="005839EF"/>
    <w:rsid w:val="00584980"/>
    <w:rsid w:val="005867A6"/>
    <w:rsid w:val="00586A93"/>
    <w:rsid w:val="005875FA"/>
    <w:rsid w:val="00590370"/>
    <w:rsid w:val="00590699"/>
    <w:rsid w:val="0059280B"/>
    <w:rsid w:val="005931AE"/>
    <w:rsid w:val="00594977"/>
    <w:rsid w:val="0059505A"/>
    <w:rsid w:val="005A00A6"/>
    <w:rsid w:val="005A0C26"/>
    <w:rsid w:val="005A28F4"/>
    <w:rsid w:val="005A2E17"/>
    <w:rsid w:val="005A33FB"/>
    <w:rsid w:val="005A394B"/>
    <w:rsid w:val="005A3B1C"/>
    <w:rsid w:val="005A4287"/>
    <w:rsid w:val="005A4B94"/>
    <w:rsid w:val="005A4DB4"/>
    <w:rsid w:val="005A51BA"/>
    <w:rsid w:val="005A565C"/>
    <w:rsid w:val="005A6427"/>
    <w:rsid w:val="005A6A43"/>
    <w:rsid w:val="005A6BA9"/>
    <w:rsid w:val="005A7185"/>
    <w:rsid w:val="005A7389"/>
    <w:rsid w:val="005A7623"/>
    <w:rsid w:val="005A775C"/>
    <w:rsid w:val="005A79E2"/>
    <w:rsid w:val="005B02A5"/>
    <w:rsid w:val="005B21A3"/>
    <w:rsid w:val="005B2C57"/>
    <w:rsid w:val="005B3459"/>
    <w:rsid w:val="005B40BC"/>
    <w:rsid w:val="005B4CEA"/>
    <w:rsid w:val="005B7BD8"/>
    <w:rsid w:val="005C24DC"/>
    <w:rsid w:val="005C2F88"/>
    <w:rsid w:val="005C3C5F"/>
    <w:rsid w:val="005C3C76"/>
    <w:rsid w:val="005C3DBF"/>
    <w:rsid w:val="005C49B7"/>
    <w:rsid w:val="005C4AB5"/>
    <w:rsid w:val="005C6A35"/>
    <w:rsid w:val="005C6A7F"/>
    <w:rsid w:val="005C74D1"/>
    <w:rsid w:val="005C76CB"/>
    <w:rsid w:val="005D01C5"/>
    <w:rsid w:val="005D0571"/>
    <w:rsid w:val="005D0A41"/>
    <w:rsid w:val="005D1729"/>
    <w:rsid w:val="005D17EF"/>
    <w:rsid w:val="005D21B4"/>
    <w:rsid w:val="005D3C7A"/>
    <w:rsid w:val="005D4655"/>
    <w:rsid w:val="005D67BA"/>
    <w:rsid w:val="005D74E8"/>
    <w:rsid w:val="005D786C"/>
    <w:rsid w:val="005D7B3A"/>
    <w:rsid w:val="005E010B"/>
    <w:rsid w:val="005E0170"/>
    <w:rsid w:val="005E0C7C"/>
    <w:rsid w:val="005E112F"/>
    <w:rsid w:val="005E1BBE"/>
    <w:rsid w:val="005E2612"/>
    <w:rsid w:val="005E3163"/>
    <w:rsid w:val="005E6667"/>
    <w:rsid w:val="005E6744"/>
    <w:rsid w:val="005E6B2F"/>
    <w:rsid w:val="005F0224"/>
    <w:rsid w:val="005F1411"/>
    <w:rsid w:val="005F2023"/>
    <w:rsid w:val="005F445B"/>
    <w:rsid w:val="005F4A43"/>
    <w:rsid w:val="005F4A86"/>
    <w:rsid w:val="005F68B9"/>
    <w:rsid w:val="005F76F8"/>
    <w:rsid w:val="006006DD"/>
    <w:rsid w:val="00601CB3"/>
    <w:rsid w:val="00601E6B"/>
    <w:rsid w:val="0060233E"/>
    <w:rsid w:val="00602CA5"/>
    <w:rsid w:val="006034D5"/>
    <w:rsid w:val="00604165"/>
    <w:rsid w:val="0060521E"/>
    <w:rsid w:val="0060550F"/>
    <w:rsid w:val="00605715"/>
    <w:rsid w:val="00605D9C"/>
    <w:rsid w:val="0060638D"/>
    <w:rsid w:val="0060775A"/>
    <w:rsid w:val="00607DE5"/>
    <w:rsid w:val="0061143C"/>
    <w:rsid w:val="00611D96"/>
    <w:rsid w:val="006121D4"/>
    <w:rsid w:val="0061557E"/>
    <w:rsid w:val="0061725F"/>
    <w:rsid w:val="0061772F"/>
    <w:rsid w:val="00620524"/>
    <w:rsid w:val="00621AA5"/>
    <w:rsid w:val="00622584"/>
    <w:rsid w:val="00622AF1"/>
    <w:rsid w:val="0062319E"/>
    <w:rsid w:val="00623B03"/>
    <w:rsid w:val="00623C56"/>
    <w:rsid w:val="00624FB3"/>
    <w:rsid w:val="006250D6"/>
    <w:rsid w:val="00625BD2"/>
    <w:rsid w:val="00625E8E"/>
    <w:rsid w:val="00626404"/>
    <w:rsid w:val="0062679F"/>
    <w:rsid w:val="006305E7"/>
    <w:rsid w:val="00631E14"/>
    <w:rsid w:val="00633262"/>
    <w:rsid w:val="00633E0F"/>
    <w:rsid w:val="00633E7D"/>
    <w:rsid w:val="00633EE9"/>
    <w:rsid w:val="00634483"/>
    <w:rsid w:val="006349C9"/>
    <w:rsid w:val="00634BD7"/>
    <w:rsid w:val="00635169"/>
    <w:rsid w:val="006369C3"/>
    <w:rsid w:val="00636DAD"/>
    <w:rsid w:val="006379E4"/>
    <w:rsid w:val="0064026F"/>
    <w:rsid w:val="00640A69"/>
    <w:rsid w:val="00640A94"/>
    <w:rsid w:val="00640C15"/>
    <w:rsid w:val="00641670"/>
    <w:rsid w:val="00641F71"/>
    <w:rsid w:val="0064273B"/>
    <w:rsid w:val="006432D7"/>
    <w:rsid w:val="006445E8"/>
    <w:rsid w:val="006456DF"/>
    <w:rsid w:val="00646462"/>
    <w:rsid w:val="006471CF"/>
    <w:rsid w:val="00647609"/>
    <w:rsid w:val="0064790E"/>
    <w:rsid w:val="006479AD"/>
    <w:rsid w:val="00651763"/>
    <w:rsid w:val="00651ACB"/>
    <w:rsid w:val="00651B72"/>
    <w:rsid w:val="0065255F"/>
    <w:rsid w:val="00652F11"/>
    <w:rsid w:val="00653614"/>
    <w:rsid w:val="00653ED3"/>
    <w:rsid w:val="006540D1"/>
    <w:rsid w:val="006541A1"/>
    <w:rsid w:val="006545CD"/>
    <w:rsid w:val="00654887"/>
    <w:rsid w:val="00654F68"/>
    <w:rsid w:val="00655194"/>
    <w:rsid w:val="00655CFA"/>
    <w:rsid w:val="0065621E"/>
    <w:rsid w:val="0065665D"/>
    <w:rsid w:val="0065678A"/>
    <w:rsid w:val="00657C0E"/>
    <w:rsid w:val="00660D0C"/>
    <w:rsid w:val="0066183F"/>
    <w:rsid w:val="006619E2"/>
    <w:rsid w:val="006628E9"/>
    <w:rsid w:val="00662EC6"/>
    <w:rsid w:val="006633D0"/>
    <w:rsid w:val="006634C4"/>
    <w:rsid w:val="0066414D"/>
    <w:rsid w:val="00664323"/>
    <w:rsid w:val="006646D4"/>
    <w:rsid w:val="006667BF"/>
    <w:rsid w:val="006700B3"/>
    <w:rsid w:val="00670F3B"/>
    <w:rsid w:val="006718B4"/>
    <w:rsid w:val="00672633"/>
    <w:rsid w:val="0067288E"/>
    <w:rsid w:val="00672955"/>
    <w:rsid w:val="00672DC1"/>
    <w:rsid w:val="006740D3"/>
    <w:rsid w:val="00675825"/>
    <w:rsid w:val="00675E03"/>
    <w:rsid w:val="00675E08"/>
    <w:rsid w:val="00676264"/>
    <w:rsid w:val="006804DF"/>
    <w:rsid w:val="00681345"/>
    <w:rsid w:val="006819F1"/>
    <w:rsid w:val="00682B20"/>
    <w:rsid w:val="00683192"/>
    <w:rsid w:val="00683E67"/>
    <w:rsid w:val="00683FA5"/>
    <w:rsid w:val="006853E5"/>
    <w:rsid w:val="00686FA9"/>
    <w:rsid w:val="00687F6D"/>
    <w:rsid w:val="00690427"/>
    <w:rsid w:val="00690954"/>
    <w:rsid w:val="0069382B"/>
    <w:rsid w:val="006948EC"/>
    <w:rsid w:val="00695290"/>
    <w:rsid w:val="0069559E"/>
    <w:rsid w:val="00695A0D"/>
    <w:rsid w:val="00695B22"/>
    <w:rsid w:val="00695EFF"/>
    <w:rsid w:val="0069612E"/>
    <w:rsid w:val="00696997"/>
    <w:rsid w:val="00697347"/>
    <w:rsid w:val="0069794B"/>
    <w:rsid w:val="006A06EF"/>
    <w:rsid w:val="006A085D"/>
    <w:rsid w:val="006A1615"/>
    <w:rsid w:val="006A3061"/>
    <w:rsid w:val="006A4C9E"/>
    <w:rsid w:val="006A5A9A"/>
    <w:rsid w:val="006A5C97"/>
    <w:rsid w:val="006A5F21"/>
    <w:rsid w:val="006A639A"/>
    <w:rsid w:val="006A6697"/>
    <w:rsid w:val="006A6A26"/>
    <w:rsid w:val="006A764B"/>
    <w:rsid w:val="006A7670"/>
    <w:rsid w:val="006B0E51"/>
    <w:rsid w:val="006B12D6"/>
    <w:rsid w:val="006B15FC"/>
    <w:rsid w:val="006B1928"/>
    <w:rsid w:val="006B1951"/>
    <w:rsid w:val="006B1D76"/>
    <w:rsid w:val="006B2DAA"/>
    <w:rsid w:val="006B36A6"/>
    <w:rsid w:val="006B3C58"/>
    <w:rsid w:val="006B4DA7"/>
    <w:rsid w:val="006B4F57"/>
    <w:rsid w:val="006B5A10"/>
    <w:rsid w:val="006B6023"/>
    <w:rsid w:val="006B6514"/>
    <w:rsid w:val="006B6692"/>
    <w:rsid w:val="006B76E8"/>
    <w:rsid w:val="006C18EF"/>
    <w:rsid w:val="006C1C2E"/>
    <w:rsid w:val="006C22BD"/>
    <w:rsid w:val="006C25A5"/>
    <w:rsid w:val="006C29D7"/>
    <w:rsid w:val="006C3074"/>
    <w:rsid w:val="006C31FB"/>
    <w:rsid w:val="006C3E8D"/>
    <w:rsid w:val="006C407F"/>
    <w:rsid w:val="006C465C"/>
    <w:rsid w:val="006C472B"/>
    <w:rsid w:val="006C5BD7"/>
    <w:rsid w:val="006C5DAB"/>
    <w:rsid w:val="006C660F"/>
    <w:rsid w:val="006C7183"/>
    <w:rsid w:val="006C7BA3"/>
    <w:rsid w:val="006C7EF1"/>
    <w:rsid w:val="006D0436"/>
    <w:rsid w:val="006D13D9"/>
    <w:rsid w:val="006D20EA"/>
    <w:rsid w:val="006D3AD2"/>
    <w:rsid w:val="006D3E6B"/>
    <w:rsid w:val="006D4941"/>
    <w:rsid w:val="006D516E"/>
    <w:rsid w:val="006D521B"/>
    <w:rsid w:val="006D60FA"/>
    <w:rsid w:val="006D6919"/>
    <w:rsid w:val="006D6998"/>
    <w:rsid w:val="006D7C3C"/>
    <w:rsid w:val="006E002F"/>
    <w:rsid w:val="006E10C8"/>
    <w:rsid w:val="006E19DD"/>
    <w:rsid w:val="006E2DDE"/>
    <w:rsid w:val="006E4C97"/>
    <w:rsid w:val="006E4DD7"/>
    <w:rsid w:val="006E581B"/>
    <w:rsid w:val="006E6487"/>
    <w:rsid w:val="006E68F3"/>
    <w:rsid w:val="006E7121"/>
    <w:rsid w:val="006E7916"/>
    <w:rsid w:val="006E7AA9"/>
    <w:rsid w:val="006F078C"/>
    <w:rsid w:val="006F0853"/>
    <w:rsid w:val="006F21FB"/>
    <w:rsid w:val="006F22B0"/>
    <w:rsid w:val="006F4F03"/>
    <w:rsid w:val="006F554D"/>
    <w:rsid w:val="006F576C"/>
    <w:rsid w:val="006F5CD8"/>
    <w:rsid w:val="006F5FD3"/>
    <w:rsid w:val="006F65DD"/>
    <w:rsid w:val="006F7668"/>
    <w:rsid w:val="00701761"/>
    <w:rsid w:val="00701A99"/>
    <w:rsid w:val="00701D2A"/>
    <w:rsid w:val="007029EC"/>
    <w:rsid w:val="007038BA"/>
    <w:rsid w:val="00703E84"/>
    <w:rsid w:val="00703F4C"/>
    <w:rsid w:val="007049B8"/>
    <w:rsid w:val="00704AD2"/>
    <w:rsid w:val="00704CF1"/>
    <w:rsid w:val="00705960"/>
    <w:rsid w:val="00705DD4"/>
    <w:rsid w:val="00705F9C"/>
    <w:rsid w:val="00706F47"/>
    <w:rsid w:val="00707375"/>
    <w:rsid w:val="00710595"/>
    <w:rsid w:val="007112F5"/>
    <w:rsid w:val="00711DD3"/>
    <w:rsid w:val="0071240B"/>
    <w:rsid w:val="00712B94"/>
    <w:rsid w:val="00713975"/>
    <w:rsid w:val="00713EEB"/>
    <w:rsid w:val="00714353"/>
    <w:rsid w:val="0071528E"/>
    <w:rsid w:val="00715FD6"/>
    <w:rsid w:val="00721561"/>
    <w:rsid w:val="007223E4"/>
    <w:rsid w:val="00722542"/>
    <w:rsid w:val="007227D2"/>
    <w:rsid w:val="00722C03"/>
    <w:rsid w:val="007232E9"/>
    <w:rsid w:val="00723683"/>
    <w:rsid w:val="0072491A"/>
    <w:rsid w:val="00724E67"/>
    <w:rsid w:val="00725151"/>
    <w:rsid w:val="00726DB5"/>
    <w:rsid w:val="0072705E"/>
    <w:rsid w:val="00727106"/>
    <w:rsid w:val="00727A9D"/>
    <w:rsid w:val="00727AA4"/>
    <w:rsid w:val="007303C8"/>
    <w:rsid w:val="007306A2"/>
    <w:rsid w:val="007329A2"/>
    <w:rsid w:val="00732BFA"/>
    <w:rsid w:val="007334CE"/>
    <w:rsid w:val="00733685"/>
    <w:rsid w:val="00734A86"/>
    <w:rsid w:val="00735748"/>
    <w:rsid w:val="007369F0"/>
    <w:rsid w:val="00737214"/>
    <w:rsid w:val="007402C0"/>
    <w:rsid w:val="00740334"/>
    <w:rsid w:val="007407F4"/>
    <w:rsid w:val="0074112C"/>
    <w:rsid w:val="00742323"/>
    <w:rsid w:val="00742540"/>
    <w:rsid w:val="00742A64"/>
    <w:rsid w:val="00743298"/>
    <w:rsid w:val="0074336F"/>
    <w:rsid w:val="007444E1"/>
    <w:rsid w:val="0074450B"/>
    <w:rsid w:val="00744583"/>
    <w:rsid w:val="00744966"/>
    <w:rsid w:val="00747FD4"/>
    <w:rsid w:val="007503BF"/>
    <w:rsid w:val="007504F4"/>
    <w:rsid w:val="00751069"/>
    <w:rsid w:val="00751768"/>
    <w:rsid w:val="00751890"/>
    <w:rsid w:val="007523AD"/>
    <w:rsid w:val="007534CE"/>
    <w:rsid w:val="007536CA"/>
    <w:rsid w:val="00753C70"/>
    <w:rsid w:val="007543C7"/>
    <w:rsid w:val="00754482"/>
    <w:rsid w:val="00754B6F"/>
    <w:rsid w:val="007554D5"/>
    <w:rsid w:val="00755C0C"/>
    <w:rsid w:val="00756D8B"/>
    <w:rsid w:val="007570AE"/>
    <w:rsid w:val="007576F5"/>
    <w:rsid w:val="00757F6D"/>
    <w:rsid w:val="0076087E"/>
    <w:rsid w:val="0076119B"/>
    <w:rsid w:val="0076158D"/>
    <w:rsid w:val="00761A4D"/>
    <w:rsid w:val="00761F55"/>
    <w:rsid w:val="00762E20"/>
    <w:rsid w:val="007638E2"/>
    <w:rsid w:val="00763AEC"/>
    <w:rsid w:val="00763F84"/>
    <w:rsid w:val="007641DA"/>
    <w:rsid w:val="00764775"/>
    <w:rsid w:val="007672ED"/>
    <w:rsid w:val="00767945"/>
    <w:rsid w:val="00767E5C"/>
    <w:rsid w:val="0077006F"/>
    <w:rsid w:val="00772072"/>
    <w:rsid w:val="00773169"/>
    <w:rsid w:val="007734BF"/>
    <w:rsid w:val="00773BFA"/>
    <w:rsid w:val="007742D9"/>
    <w:rsid w:val="00774ED2"/>
    <w:rsid w:val="0077651B"/>
    <w:rsid w:val="00776DBD"/>
    <w:rsid w:val="0077706C"/>
    <w:rsid w:val="007773C9"/>
    <w:rsid w:val="00780007"/>
    <w:rsid w:val="00780846"/>
    <w:rsid w:val="00781259"/>
    <w:rsid w:val="0078162F"/>
    <w:rsid w:val="00781AD7"/>
    <w:rsid w:val="00782675"/>
    <w:rsid w:val="00782751"/>
    <w:rsid w:val="007828AB"/>
    <w:rsid w:val="007831D5"/>
    <w:rsid w:val="007836EC"/>
    <w:rsid w:val="00783F78"/>
    <w:rsid w:val="007848BF"/>
    <w:rsid w:val="00785BAD"/>
    <w:rsid w:val="00786FAE"/>
    <w:rsid w:val="0078759D"/>
    <w:rsid w:val="007877D6"/>
    <w:rsid w:val="00787AE6"/>
    <w:rsid w:val="00790707"/>
    <w:rsid w:val="00790968"/>
    <w:rsid w:val="00791EC6"/>
    <w:rsid w:val="00792446"/>
    <w:rsid w:val="007926E5"/>
    <w:rsid w:val="0079320B"/>
    <w:rsid w:val="00794652"/>
    <w:rsid w:val="007954DC"/>
    <w:rsid w:val="007954E8"/>
    <w:rsid w:val="00795742"/>
    <w:rsid w:val="00796061"/>
    <w:rsid w:val="0079611D"/>
    <w:rsid w:val="00796A44"/>
    <w:rsid w:val="00797283"/>
    <w:rsid w:val="007976D3"/>
    <w:rsid w:val="007A04B0"/>
    <w:rsid w:val="007A05D2"/>
    <w:rsid w:val="007A05E3"/>
    <w:rsid w:val="007A0DC4"/>
    <w:rsid w:val="007A2091"/>
    <w:rsid w:val="007A2EB5"/>
    <w:rsid w:val="007A3F4A"/>
    <w:rsid w:val="007A45A9"/>
    <w:rsid w:val="007A4678"/>
    <w:rsid w:val="007A5AC6"/>
    <w:rsid w:val="007A5BB6"/>
    <w:rsid w:val="007A6938"/>
    <w:rsid w:val="007A73E8"/>
    <w:rsid w:val="007A7521"/>
    <w:rsid w:val="007A7A01"/>
    <w:rsid w:val="007B0188"/>
    <w:rsid w:val="007B034A"/>
    <w:rsid w:val="007B0AB2"/>
    <w:rsid w:val="007B2432"/>
    <w:rsid w:val="007B375B"/>
    <w:rsid w:val="007B3912"/>
    <w:rsid w:val="007B500D"/>
    <w:rsid w:val="007B5290"/>
    <w:rsid w:val="007B671C"/>
    <w:rsid w:val="007B6DDA"/>
    <w:rsid w:val="007B7A49"/>
    <w:rsid w:val="007C080F"/>
    <w:rsid w:val="007C1409"/>
    <w:rsid w:val="007C25D9"/>
    <w:rsid w:val="007C2712"/>
    <w:rsid w:val="007C3743"/>
    <w:rsid w:val="007C4A3E"/>
    <w:rsid w:val="007C54F8"/>
    <w:rsid w:val="007C55D8"/>
    <w:rsid w:val="007C5609"/>
    <w:rsid w:val="007C57DB"/>
    <w:rsid w:val="007C5815"/>
    <w:rsid w:val="007C6E4E"/>
    <w:rsid w:val="007D01DA"/>
    <w:rsid w:val="007D04CD"/>
    <w:rsid w:val="007D06EE"/>
    <w:rsid w:val="007D161C"/>
    <w:rsid w:val="007D1627"/>
    <w:rsid w:val="007D2528"/>
    <w:rsid w:val="007D2B19"/>
    <w:rsid w:val="007D3CF2"/>
    <w:rsid w:val="007D4E85"/>
    <w:rsid w:val="007D559C"/>
    <w:rsid w:val="007D630E"/>
    <w:rsid w:val="007D64F6"/>
    <w:rsid w:val="007D679F"/>
    <w:rsid w:val="007D687C"/>
    <w:rsid w:val="007E03B1"/>
    <w:rsid w:val="007E03DF"/>
    <w:rsid w:val="007E0540"/>
    <w:rsid w:val="007E0769"/>
    <w:rsid w:val="007E1EEF"/>
    <w:rsid w:val="007E2D30"/>
    <w:rsid w:val="007E34B3"/>
    <w:rsid w:val="007E3589"/>
    <w:rsid w:val="007E4E4C"/>
    <w:rsid w:val="007E4EDC"/>
    <w:rsid w:val="007E527E"/>
    <w:rsid w:val="007E5A40"/>
    <w:rsid w:val="007E75EC"/>
    <w:rsid w:val="007F0100"/>
    <w:rsid w:val="007F04AD"/>
    <w:rsid w:val="007F0518"/>
    <w:rsid w:val="007F1EFC"/>
    <w:rsid w:val="007F2C26"/>
    <w:rsid w:val="007F394F"/>
    <w:rsid w:val="007F396E"/>
    <w:rsid w:val="007F5AED"/>
    <w:rsid w:val="007F5B7F"/>
    <w:rsid w:val="007F5FC4"/>
    <w:rsid w:val="007F67B2"/>
    <w:rsid w:val="00800B88"/>
    <w:rsid w:val="0080239A"/>
    <w:rsid w:val="008024D8"/>
    <w:rsid w:val="00802C26"/>
    <w:rsid w:val="00802D9F"/>
    <w:rsid w:val="00803529"/>
    <w:rsid w:val="00804521"/>
    <w:rsid w:val="0080476B"/>
    <w:rsid w:val="00804ABC"/>
    <w:rsid w:val="0080679E"/>
    <w:rsid w:val="00806867"/>
    <w:rsid w:val="00807851"/>
    <w:rsid w:val="0081001A"/>
    <w:rsid w:val="00810332"/>
    <w:rsid w:val="0081075C"/>
    <w:rsid w:val="00810825"/>
    <w:rsid w:val="008110EA"/>
    <w:rsid w:val="00811645"/>
    <w:rsid w:val="0081184F"/>
    <w:rsid w:val="00811FD3"/>
    <w:rsid w:val="00813605"/>
    <w:rsid w:val="00813DD0"/>
    <w:rsid w:val="0081451A"/>
    <w:rsid w:val="0081565D"/>
    <w:rsid w:val="00816957"/>
    <w:rsid w:val="00816A10"/>
    <w:rsid w:val="008201C7"/>
    <w:rsid w:val="00820537"/>
    <w:rsid w:val="00820EFC"/>
    <w:rsid w:val="00821259"/>
    <w:rsid w:val="0082125B"/>
    <w:rsid w:val="008213DD"/>
    <w:rsid w:val="00822429"/>
    <w:rsid w:val="00822BF3"/>
    <w:rsid w:val="00822CF3"/>
    <w:rsid w:val="00823592"/>
    <w:rsid w:val="008244F9"/>
    <w:rsid w:val="00825542"/>
    <w:rsid w:val="00825FC1"/>
    <w:rsid w:val="00827524"/>
    <w:rsid w:val="00827ABD"/>
    <w:rsid w:val="00827DC0"/>
    <w:rsid w:val="0083040D"/>
    <w:rsid w:val="00830E7C"/>
    <w:rsid w:val="0083125B"/>
    <w:rsid w:val="00831874"/>
    <w:rsid w:val="00831A1F"/>
    <w:rsid w:val="00831BBB"/>
    <w:rsid w:val="00831E1B"/>
    <w:rsid w:val="00832C58"/>
    <w:rsid w:val="008333A1"/>
    <w:rsid w:val="008339C7"/>
    <w:rsid w:val="00834C66"/>
    <w:rsid w:val="00834FB0"/>
    <w:rsid w:val="0083580D"/>
    <w:rsid w:val="00836B8E"/>
    <w:rsid w:val="00836EA6"/>
    <w:rsid w:val="00837369"/>
    <w:rsid w:val="00837DB6"/>
    <w:rsid w:val="0084041F"/>
    <w:rsid w:val="008430A8"/>
    <w:rsid w:val="00843405"/>
    <w:rsid w:val="008436EE"/>
    <w:rsid w:val="00843841"/>
    <w:rsid w:val="00844F01"/>
    <w:rsid w:val="00845C21"/>
    <w:rsid w:val="00845E25"/>
    <w:rsid w:val="0084625E"/>
    <w:rsid w:val="00846F93"/>
    <w:rsid w:val="00847DAB"/>
    <w:rsid w:val="00847E6E"/>
    <w:rsid w:val="008501FC"/>
    <w:rsid w:val="0085229B"/>
    <w:rsid w:val="0085278F"/>
    <w:rsid w:val="00852A9C"/>
    <w:rsid w:val="00852F02"/>
    <w:rsid w:val="00856567"/>
    <w:rsid w:val="008568B2"/>
    <w:rsid w:val="00856BA8"/>
    <w:rsid w:val="00856D8D"/>
    <w:rsid w:val="00860052"/>
    <w:rsid w:val="008609EE"/>
    <w:rsid w:val="008610A8"/>
    <w:rsid w:val="00861303"/>
    <w:rsid w:val="00862BFB"/>
    <w:rsid w:val="008636F1"/>
    <w:rsid w:val="00864384"/>
    <w:rsid w:val="008643C4"/>
    <w:rsid w:val="008643FF"/>
    <w:rsid w:val="008645BA"/>
    <w:rsid w:val="008645D5"/>
    <w:rsid w:val="0086476C"/>
    <w:rsid w:val="008649AE"/>
    <w:rsid w:val="008654B1"/>
    <w:rsid w:val="00865B35"/>
    <w:rsid w:val="00865F92"/>
    <w:rsid w:val="008665DB"/>
    <w:rsid w:val="00866618"/>
    <w:rsid w:val="008676CD"/>
    <w:rsid w:val="00870C4F"/>
    <w:rsid w:val="008727CD"/>
    <w:rsid w:val="00872D1C"/>
    <w:rsid w:val="00872D55"/>
    <w:rsid w:val="0087370F"/>
    <w:rsid w:val="008738A5"/>
    <w:rsid w:val="008739F5"/>
    <w:rsid w:val="0087415C"/>
    <w:rsid w:val="0087485F"/>
    <w:rsid w:val="00874F5B"/>
    <w:rsid w:val="00875A54"/>
    <w:rsid w:val="00876783"/>
    <w:rsid w:val="00876798"/>
    <w:rsid w:val="00877A40"/>
    <w:rsid w:val="00880ACE"/>
    <w:rsid w:val="00880D88"/>
    <w:rsid w:val="00881CA2"/>
    <w:rsid w:val="00881DD6"/>
    <w:rsid w:val="008824B8"/>
    <w:rsid w:val="008834F6"/>
    <w:rsid w:val="008835AE"/>
    <w:rsid w:val="00883622"/>
    <w:rsid w:val="00883AB1"/>
    <w:rsid w:val="00883DD3"/>
    <w:rsid w:val="008840A5"/>
    <w:rsid w:val="00884C99"/>
    <w:rsid w:val="008857B6"/>
    <w:rsid w:val="008866C6"/>
    <w:rsid w:val="00886AA8"/>
    <w:rsid w:val="0089001A"/>
    <w:rsid w:val="00890245"/>
    <w:rsid w:val="008902E9"/>
    <w:rsid w:val="008906F2"/>
    <w:rsid w:val="008912AC"/>
    <w:rsid w:val="008916BA"/>
    <w:rsid w:val="0089176E"/>
    <w:rsid w:val="00893F7A"/>
    <w:rsid w:val="00894720"/>
    <w:rsid w:val="00895C6F"/>
    <w:rsid w:val="00897E47"/>
    <w:rsid w:val="008A0372"/>
    <w:rsid w:val="008A0A67"/>
    <w:rsid w:val="008A2081"/>
    <w:rsid w:val="008A2776"/>
    <w:rsid w:val="008A2CE1"/>
    <w:rsid w:val="008A4190"/>
    <w:rsid w:val="008A4598"/>
    <w:rsid w:val="008A5E4D"/>
    <w:rsid w:val="008A7120"/>
    <w:rsid w:val="008A7182"/>
    <w:rsid w:val="008B0803"/>
    <w:rsid w:val="008B1C6D"/>
    <w:rsid w:val="008B1E4F"/>
    <w:rsid w:val="008B33F4"/>
    <w:rsid w:val="008B3575"/>
    <w:rsid w:val="008B4B18"/>
    <w:rsid w:val="008B4B24"/>
    <w:rsid w:val="008B5737"/>
    <w:rsid w:val="008B580F"/>
    <w:rsid w:val="008B5BB9"/>
    <w:rsid w:val="008B761F"/>
    <w:rsid w:val="008C0DC5"/>
    <w:rsid w:val="008C17FB"/>
    <w:rsid w:val="008C2299"/>
    <w:rsid w:val="008C272F"/>
    <w:rsid w:val="008C5143"/>
    <w:rsid w:val="008C520E"/>
    <w:rsid w:val="008C6838"/>
    <w:rsid w:val="008C6E5E"/>
    <w:rsid w:val="008C798A"/>
    <w:rsid w:val="008D0C5A"/>
    <w:rsid w:val="008D0CD6"/>
    <w:rsid w:val="008D1485"/>
    <w:rsid w:val="008D1BA2"/>
    <w:rsid w:val="008D201F"/>
    <w:rsid w:val="008D3D0A"/>
    <w:rsid w:val="008D6A0F"/>
    <w:rsid w:val="008D6F23"/>
    <w:rsid w:val="008D744D"/>
    <w:rsid w:val="008D74C6"/>
    <w:rsid w:val="008D7529"/>
    <w:rsid w:val="008E0061"/>
    <w:rsid w:val="008E0621"/>
    <w:rsid w:val="008E0B2B"/>
    <w:rsid w:val="008E12FE"/>
    <w:rsid w:val="008E136E"/>
    <w:rsid w:val="008E3F01"/>
    <w:rsid w:val="008E4BD2"/>
    <w:rsid w:val="008E4D54"/>
    <w:rsid w:val="008E5853"/>
    <w:rsid w:val="008E626A"/>
    <w:rsid w:val="008E6963"/>
    <w:rsid w:val="008E7D36"/>
    <w:rsid w:val="008F077D"/>
    <w:rsid w:val="008F0A53"/>
    <w:rsid w:val="008F0EC6"/>
    <w:rsid w:val="008F1101"/>
    <w:rsid w:val="008F1C02"/>
    <w:rsid w:val="008F26FA"/>
    <w:rsid w:val="008F2BDE"/>
    <w:rsid w:val="008F33B8"/>
    <w:rsid w:val="008F3967"/>
    <w:rsid w:val="008F43AB"/>
    <w:rsid w:val="008F4CA6"/>
    <w:rsid w:val="008F5138"/>
    <w:rsid w:val="008F553F"/>
    <w:rsid w:val="0090053C"/>
    <w:rsid w:val="0090096A"/>
    <w:rsid w:val="00903794"/>
    <w:rsid w:val="00904196"/>
    <w:rsid w:val="009044D3"/>
    <w:rsid w:val="00904701"/>
    <w:rsid w:val="0090527E"/>
    <w:rsid w:val="00905400"/>
    <w:rsid w:val="00907849"/>
    <w:rsid w:val="00910D19"/>
    <w:rsid w:val="00911476"/>
    <w:rsid w:val="00912FD8"/>
    <w:rsid w:val="00912FE9"/>
    <w:rsid w:val="00913E0D"/>
    <w:rsid w:val="00914394"/>
    <w:rsid w:val="00914865"/>
    <w:rsid w:val="00914DC4"/>
    <w:rsid w:val="00914EC9"/>
    <w:rsid w:val="00916764"/>
    <w:rsid w:val="00916C9B"/>
    <w:rsid w:val="009176F2"/>
    <w:rsid w:val="00917A55"/>
    <w:rsid w:val="00920952"/>
    <w:rsid w:val="00920CE6"/>
    <w:rsid w:val="00921363"/>
    <w:rsid w:val="00922738"/>
    <w:rsid w:val="00922A37"/>
    <w:rsid w:val="009231E9"/>
    <w:rsid w:val="00924092"/>
    <w:rsid w:val="009242D1"/>
    <w:rsid w:val="0092518F"/>
    <w:rsid w:val="00925EA4"/>
    <w:rsid w:val="00926116"/>
    <w:rsid w:val="00926933"/>
    <w:rsid w:val="00926A44"/>
    <w:rsid w:val="009308C0"/>
    <w:rsid w:val="00930F30"/>
    <w:rsid w:val="009311BB"/>
    <w:rsid w:val="00931410"/>
    <w:rsid w:val="009325B3"/>
    <w:rsid w:val="00932BFA"/>
    <w:rsid w:val="00932EE8"/>
    <w:rsid w:val="009332D9"/>
    <w:rsid w:val="009335A4"/>
    <w:rsid w:val="00933D58"/>
    <w:rsid w:val="00934F38"/>
    <w:rsid w:val="0093504A"/>
    <w:rsid w:val="009351B9"/>
    <w:rsid w:val="00936314"/>
    <w:rsid w:val="00936D0E"/>
    <w:rsid w:val="00936D19"/>
    <w:rsid w:val="00936F7E"/>
    <w:rsid w:val="00941221"/>
    <w:rsid w:val="009419B7"/>
    <w:rsid w:val="0094209F"/>
    <w:rsid w:val="009421F6"/>
    <w:rsid w:val="00942CB7"/>
    <w:rsid w:val="00942CCE"/>
    <w:rsid w:val="009430D3"/>
    <w:rsid w:val="009431A6"/>
    <w:rsid w:val="0094336F"/>
    <w:rsid w:val="00943DBB"/>
    <w:rsid w:val="0094639F"/>
    <w:rsid w:val="00946673"/>
    <w:rsid w:val="00946B63"/>
    <w:rsid w:val="00946D7C"/>
    <w:rsid w:val="00946FE8"/>
    <w:rsid w:val="009470AE"/>
    <w:rsid w:val="00947983"/>
    <w:rsid w:val="0095066B"/>
    <w:rsid w:val="009507E0"/>
    <w:rsid w:val="00951061"/>
    <w:rsid w:val="009517EC"/>
    <w:rsid w:val="00952BC9"/>
    <w:rsid w:val="00952FD9"/>
    <w:rsid w:val="0095396B"/>
    <w:rsid w:val="00953A42"/>
    <w:rsid w:val="0095572F"/>
    <w:rsid w:val="009558AD"/>
    <w:rsid w:val="00955F57"/>
    <w:rsid w:val="00955FBD"/>
    <w:rsid w:val="009568BA"/>
    <w:rsid w:val="0095751E"/>
    <w:rsid w:val="009575AB"/>
    <w:rsid w:val="00957B3E"/>
    <w:rsid w:val="009604DF"/>
    <w:rsid w:val="009609D0"/>
    <w:rsid w:val="0096232D"/>
    <w:rsid w:val="009628FD"/>
    <w:rsid w:val="00962E5E"/>
    <w:rsid w:val="00963292"/>
    <w:rsid w:val="0096378F"/>
    <w:rsid w:val="0096379B"/>
    <w:rsid w:val="00964117"/>
    <w:rsid w:val="00964903"/>
    <w:rsid w:val="00964C55"/>
    <w:rsid w:val="009658DB"/>
    <w:rsid w:val="009666B9"/>
    <w:rsid w:val="0096671B"/>
    <w:rsid w:val="009669A7"/>
    <w:rsid w:val="00966BD0"/>
    <w:rsid w:val="009709C4"/>
    <w:rsid w:val="00972B3B"/>
    <w:rsid w:val="00973F93"/>
    <w:rsid w:val="009749FB"/>
    <w:rsid w:val="0097502E"/>
    <w:rsid w:val="00975524"/>
    <w:rsid w:val="00975C8E"/>
    <w:rsid w:val="009765A5"/>
    <w:rsid w:val="00976990"/>
    <w:rsid w:val="00977264"/>
    <w:rsid w:val="00980AA4"/>
    <w:rsid w:val="00980C7B"/>
    <w:rsid w:val="009818F3"/>
    <w:rsid w:val="00981D33"/>
    <w:rsid w:val="00981F9F"/>
    <w:rsid w:val="0098251C"/>
    <w:rsid w:val="0098260E"/>
    <w:rsid w:val="00982E5A"/>
    <w:rsid w:val="0098383F"/>
    <w:rsid w:val="00983BF6"/>
    <w:rsid w:val="00984644"/>
    <w:rsid w:val="00984A63"/>
    <w:rsid w:val="0098556C"/>
    <w:rsid w:val="0098580E"/>
    <w:rsid w:val="009859E1"/>
    <w:rsid w:val="00985FD5"/>
    <w:rsid w:val="00986FED"/>
    <w:rsid w:val="009873B2"/>
    <w:rsid w:val="0099056B"/>
    <w:rsid w:val="00990965"/>
    <w:rsid w:val="009911B3"/>
    <w:rsid w:val="00991488"/>
    <w:rsid w:val="00991FC8"/>
    <w:rsid w:val="0099421D"/>
    <w:rsid w:val="0099426B"/>
    <w:rsid w:val="009948F0"/>
    <w:rsid w:val="00994D86"/>
    <w:rsid w:val="00994E4D"/>
    <w:rsid w:val="00995262"/>
    <w:rsid w:val="009954F9"/>
    <w:rsid w:val="009955D2"/>
    <w:rsid w:val="00995F3B"/>
    <w:rsid w:val="00996026"/>
    <w:rsid w:val="009962E0"/>
    <w:rsid w:val="009971B2"/>
    <w:rsid w:val="00997BC1"/>
    <w:rsid w:val="009A1861"/>
    <w:rsid w:val="009A1D97"/>
    <w:rsid w:val="009A3299"/>
    <w:rsid w:val="009A54BA"/>
    <w:rsid w:val="009A5B3F"/>
    <w:rsid w:val="009A5BE6"/>
    <w:rsid w:val="009A6610"/>
    <w:rsid w:val="009A695D"/>
    <w:rsid w:val="009B0065"/>
    <w:rsid w:val="009B0DB5"/>
    <w:rsid w:val="009B1056"/>
    <w:rsid w:val="009B1B76"/>
    <w:rsid w:val="009B2668"/>
    <w:rsid w:val="009B36EB"/>
    <w:rsid w:val="009B3D06"/>
    <w:rsid w:val="009B5A18"/>
    <w:rsid w:val="009B7523"/>
    <w:rsid w:val="009B75FF"/>
    <w:rsid w:val="009C0D65"/>
    <w:rsid w:val="009C1693"/>
    <w:rsid w:val="009C1E16"/>
    <w:rsid w:val="009C2858"/>
    <w:rsid w:val="009C2B42"/>
    <w:rsid w:val="009C2BAC"/>
    <w:rsid w:val="009C4EFA"/>
    <w:rsid w:val="009C51FE"/>
    <w:rsid w:val="009C5689"/>
    <w:rsid w:val="009C6E1B"/>
    <w:rsid w:val="009C7522"/>
    <w:rsid w:val="009C7592"/>
    <w:rsid w:val="009D068B"/>
    <w:rsid w:val="009D0C30"/>
    <w:rsid w:val="009D157D"/>
    <w:rsid w:val="009D1817"/>
    <w:rsid w:val="009D1E48"/>
    <w:rsid w:val="009D1F7B"/>
    <w:rsid w:val="009D2054"/>
    <w:rsid w:val="009D26B4"/>
    <w:rsid w:val="009D3B2F"/>
    <w:rsid w:val="009D428A"/>
    <w:rsid w:val="009D5BE5"/>
    <w:rsid w:val="009D7555"/>
    <w:rsid w:val="009E0ECA"/>
    <w:rsid w:val="009E0FB7"/>
    <w:rsid w:val="009E15C9"/>
    <w:rsid w:val="009E1EED"/>
    <w:rsid w:val="009E245E"/>
    <w:rsid w:val="009E283B"/>
    <w:rsid w:val="009E2BDD"/>
    <w:rsid w:val="009E2FA5"/>
    <w:rsid w:val="009E31B2"/>
    <w:rsid w:val="009E3207"/>
    <w:rsid w:val="009E376F"/>
    <w:rsid w:val="009E3B9E"/>
    <w:rsid w:val="009E3E1C"/>
    <w:rsid w:val="009E418B"/>
    <w:rsid w:val="009E528E"/>
    <w:rsid w:val="009E5452"/>
    <w:rsid w:val="009E5971"/>
    <w:rsid w:val="009E6774"/>
    <w:rsid w:val="009E7479"/>
    <w:rsid w:val="009E754F"/>
    <w:rsid w:val="009E7B38"/>
    <w:rsid w:val="009F01BD"/>
    <w:rsid w:val="009F0E0F"/>
    <w:rsid w:val="009F0F78"/>
    <w:rsid w:val="009F15A6"/>
    <w:rsid w:val="009F3002"/>
    <w:rsid w:val="009F30D2"/>
    <w:rsid w:val="009F49FE"/>
    <w:rsid w:val="009F5604"/>
    <w:rsid w:val="009F6D69"/>
    <w:rsid w:val="009F7510"/>
    <w:rsid w:val="009F765F"/>
    <w:rsid w:val="009F76A4"/>
    <w:rsid w:val="009F7E92"/>
    <w:rsid w:val="009F7F8E"/>
    <w:rsid w:val="00A00B32"/>
    <w:rsid w:val="00A00BE2"/>
    <w:rsid w:val="00A01798"/>
    <w:rsid w:val="00A017F7"/>
    <w:rsid w:val="00A0223D"/>
    <w:rsid w:val="00A028CC"/>
    <w:rsid w:val="00A02990"/>
    <w:rsid w:val="00A0530D"/>
    <w:rsid w:val="00A05541"/>
    <w:rsid w:val="00A05691"/>
    <w:rsid w:val="00A075A4"/>
    <w:rsid w:val="00A0795C"/>
    <w:rsid w:val="00A07A5D"/>
    <w:rsid w:val="00A10212"/>
    <w:rsid w:val="00A10AE4"/>
    <w:rsid w:val="00A11828"/>
    <w:rsid w:val="00A1183E"/>
    <w:rsid w:val="00A12160"/>
    <w:rsid w:val="00A142ED"/>
    <w:rsid w:val="00A14552"/>
    <w:rsid w:val="00A1511B"/>
    <w:rsid w:val="00A15892"/>
    <w:rsid w:val="00A1643B"/>
    <w:rsid w:val="00A16DE4"/>
    <w:rsid w:val="00A173AB"/>
    <w:rsid w:val="00A17588"/>
    <w:rsid w:val="00A175C1"/>
    <w:rsid w:val="00A17AD6"/>
    <w:rsid w:val="00A2085C"/>
    <w:rsid w:val="00A21928"/>
    <w:rsid w:val="00A21B31"/>
    <w:rsid w:val="00A21E78"/>
    <w:rsid w:val="00A2232B"/>
    <w:rsid w:val="00A225BC"/>
    <w:rsid w:val="00A22B17"/>
    <w:rsid w:val="00A240D1"/>
    <w:rsid w:val="00A24647"/>
    <w:rsid w:val="00A2641E"/>
    <w:rsid w:val="00A26BD9"/>
    <w:rsid w:val="00A26E93"/>
    <w:rsid w:val="00A27515"/>
    <w:rsid w:val="00A2785A"/>
    <w:rsid w:val="00A30ED3"/>
    <w:rsid w:val="00A30F61"/>
    <w:rsid w:val="00A30FEA"/>
    <w:rsid w:val="00A317BA"/>
    <w:rsid w:val="00A350C8"/>
    <w:rsid w:val="00A35A19"/>
    <w:rsid w:val="00A3669C"/>
    <w:rsid w:val="00A37EAB"/>
    <w:rsid w:val="00A403CD"/>
    <w:rsid w:val="00A40ACE"/>
    <w:rsid w:val="00A40FD1"/>
    <w:rsid w:val="00A41D8A"/>
    <w:rsid w:val="00A41E9F"/>
    <w:rsid w:val="00A42242"/>
    <w:rsid w:val="00A4272B"/>
    <w:rsid w:val="00A42A10"/>
    <w:rsid w:val="00A43B2C"/>
    <w:rsid w:val="00A447F5"/>
    <w:rsid w:val="00A44F95"/>
    <w:rsid w:val="00A46405"/>
    <w:rsid w:val="00A52321"/>
    <w:rsid w:val="00A5242E"/>
    <w:rsid w:val="00A52596"/>
    <w:rsid w:val="00A52ED9"/>
    <w:rsid w:val="00A534E6"/>
    <w:rsid w:val="00A53A0D"/>
    <w:rsid w:val="00A54203"/>
    <w:rsid w:val="00A547F2"/>
    <w:rsid w:val="00A55367"/>
    <w:rsid w:val="00A56DF9"/>
    <w:rsid w:val="00A62E3B"/>
    <w:rsid w:val="00A6431E"/>
    <w:rsid w:val="00A64775"/>
    <w:rsid w:val="00A65949"/>
    <w:rsid w:val="00A65F8D"/>
    <w:rsid w:val="00A710B4"/>
    <w:rsid w:val="00A71C5C"/>
    <w:rsid w:val="00A730D0"/>
    <w:rsid w:val="00A73A74"/>
    <w:rsid w:val="00A73BCC"/>
    <w:rsid w:val="00A749DC"/>
    <w:rsid w:val="00A74F72"/>
    <w:rsid w:val="00A75AE3"/>
    <w:rsid w:val="00A76578"/>
    <w:rsid w:val="00A76993"/>
    <w:rsid w:val="00A76CF6"/>
    <w:rsid w:val="00A77B54"/>
    <w:rsid w:val="00A80A43"/>
    <w:rsid w:val="00A81638"/>
    <w:rsid w:val="00A81C7E"/>
    <w:rsid w:val="00A823A2"/>
    <w:rsid w:val="00A82584"/>
    <w:rsid w:val="00A82C70"/>
    <w:rsid w:val="00A82FF7"/>
    <w:rsid w:val="00A84138"/>
    <w:rsid w:val="00A84604"/>
    <w:rsid w:val="00A868B9"/>
    <w:rsid w:val="00A868C8"/>
    <w:rsid w:val="00A86F40"/>
    <w:rsid w:val="00A87148"/>
    <w:rsid w:val="00A879DC"/>
    <w:rsid w:val="00A87C29"/>
    <w:rsid w:val="00A90419"/>
    <w:rsid w:val="00A90BE2"/>
    <w:rsid w:val="00A90FF6"/>
    <w:rsid w:val="00A910BA"/>
    <w:rsid w:val="00A91309"/>
    <w:rsid w:val="00A913D4"/>
    <w:rsid w:val="00A916EE"/>
    <w:rsid w:val="00A92FDE"/>
    <w:rsid w:val="00A93A44"/>
    <w:rsid w:val="00A9403B"/>
    <w:rsid w:val="00A94AC6"/>
    <w:rsid w:val="00A94B43"/>
    <w:rsid w:val="00A97737"/>
    <w:rsid w:val="00A97E8E"/>
    <w:rsid w:val="00AA0347"/>
    <w:rsid w:val="00AA1B58"/>
    <w:rsid w:val="00AA1B86"/>
    <w:rsid w:val="00AA21EE"/>
    <w:rsid w:val="00AA2727"/>
    <w:rsid w:val="00AA35F2"/>
    <w:rsid w:val="00AA3A60"/>
    <w:rsid w:val="00AA3BE2"/>
    <w:rsid w:val="00AA6917"/>
    <w:rsid w:val="00AA6F3D"/>
    <w:rsid w:val="00AB0022"/>
    <w:rsid w:val="00AB09CD"/>
    <w:rsid w:val="00AB12BF"/>
    <w:rsid w:val="00AB2C60"/>
    <w:rsid w:val="00AB2D79"/>
    <w:rsid w:val="00AB37DE"/>
    <w:rsid w:val="00AB384D"/>
    <w:rsid w:val="00AB3963"/>
    <w:rsid w:val="00AB3A62"/>
    <w:rsid w:val="00AB4C61"/>
    <w:rsid w:val="00AB5383"/>
    <w:rsid w:val="00AB57B7"/>
    <w:rsid w:val="00AB5AD3"/>
    <w:rsid w:val="00AB6564"/>
    <w:rsid w:val="00AB7071"/>
    <w:rsid w:val="00AB7959"/>
    <w:rsid w:val="00AC1CD6"/>
    <w:rsid w:val="00AC2456"/>
    <w:rsid w:val="00AC3383"/>
    <w:rsid w:val="00AC3CF3"/>
    <w:rsid w:val="00AC3D7B"/>
    <w:rsid w:val="00AC4E19"/>
    <w:rsid w:val="00AC6180"/>
    <w:rsid w:val="00AC7A29"/>
    <w:rsid w:val="00AC7C68"/>
    <w:rsid w:val="00AD05D7"/>
    <w:rsid w:val="00AD09A6"/>
    <w:rsid w:val="00AD0FCC"/>
    <w:rsid w:val="00AD11AC"/>
    <w:rsid w:val="00AD2845"/>
    <w:rsid w:val="00AD31BA"/>
    <w:rsid w:val="00AD4377"/>
    <w:rsid w:val="00AD4F9E"/>
    <w:rsid w:val="00AD51E9"/>
    <w:rsid w:val="00AD55C4"/>
    <w:rsid w:val="00AD5E47"/>
    <w:rsid w:val="00AD73FC"/>
    <w:rsid w:val="00AE00A4"/>
    <w:rsid w:val="00AE00D1"/>
    <w:rsid w:val="00AE04C6"/>
    <w:rsid w:val="00AE053D"/>
    <w:rsid w:val="00AE1AF8"/>
    <w:rsid w:val="00AE1D50"/>
    <w:rsid w:val="00AE22A2"/>
    <w:rsid w:val="00AE253A"/>
    <w:rsid w:val="00AE4810"/>
    <w:rsid w:val="00AE51DF"/>
    <w:rsid w:val="00AE56C5"/>
    <w:rsid w:val="00AE5E27"/>
    <w:rsid w:val="00AE62D2"/>
    <w:rsid w:val="00AE7774"/>
    <w:rsid w:val="00AF02F7"/>
    <w:rsid w:val="00AF0D52"/>
    <w:rsid w:val="00AF2C67"/>
    <w:rsid w:val="00AF2E77"/>
    <w:rsid w:val="00AF307C"/>
    <w:rsid w:val="00AF3861"/>
    <w:rsid w:val="00AF3BC4"/>
    <w:rsid w:val="00AF4CF8"/>
    <w:rsid w:val="00AF50F3"/>
    <w:rsid w:val="00AF7E6F"/>
    <w:rsid w:val="00B004A9"/>
    <w:rsid w:val="00B007B2"/>
    <w:rsid w:val="00B01067"/>
    <w:rsid w:val="00B0153D"/>
    <w:rsid w:val="00B02017"/>
    <w:rsid w:val="00B020B7"/>
    <w:rsid w:val="00B03FBD"/>
    <w:rsid w:val="00B041ED"/>
    <w:rsid w:val="00B04581"/>
    <w:rsid w:val="00B06719"/>
    <w:rsid w:val="00B07202"/>
    <w:rsid w:val="00B07F5E"/>
    <w:rsid w:val="00B07FD3"/>
    <w:rsid w:val="00B104D6"/>
    <w:rsid w:val="00B1195D"/>
    <w:rsid w:val="00B11E01"/>
    <w:rsid w:val="00B125E8"/>
    <w:rsid w:val="00B128C4"/>
    <w:rsid w:val="00B12CD3"/>
    <w:rsid w:val="00B151D8"/>
    <w:rsid w:val="00B1588F"/>
    <w:rsid w:val="00B16270"/>
    <w:rsid w:val="00B16B01"/>
    <w:rsid w:val="00B16D28"/>
    <w:rsid w:val="00B16F40"/>
    <w:rsid w:val="00B2127C"/>
    <w:rsid w:val="00B2277F"/>
    <w:rsid w:val="00B227B9"/>
    <w:rsid w:val="00B234A6"/>
    <w:rsid w:val="00B25FAA"/>
    <w:rsid w:val="00B260D9"/>
    <w:rsid w:val="00B261FF"/>
    <w:rsid w:val="00B26D4E"/>
    <w:rsid w:val="00B27006"/>
    <w:rsid w:val="00B27E97"/>
    <w:rsid w:val="00B30482"/>
    <w:rsid w:val="00B30C5C"/>
    <w:rsid w:val="00B3113B"/>
    <w:rsid w:val="00B32ACD"/>
    <w:rsid w:val="00B33E96"/>
    <w:rsid w:val="00B33F01"/>
    <w:rsid w:val="00B342D6"/>
    <w:rsid w:val="00B34D9E"/>
    <w:rsid w:val="00B364C0"/>
    <w:rsid w:val="00B36586"/>
    <w:rsid w:val="00B36806"/>
    <w:rsid w:val="00B3730E"/>
    <w:rsid w:val="00B377F0"/>
    <w:rsid w:val="00B403DF"/>
    <w:rsid w:val="00B40571"/>
    <w:rsid w:val="00B41D11"/>
    <w:rsid w:val="00B43238"/>
    <w:rsid w:val="00B4376F"/>
    <w:rsid w:val="00B437AD"/>
    <w:rsid w:val="00B44230"/>
    <w:rsid w:val="00B452FD"/>
    <w:rsid w:val="00B459AA"/>
    <w:rsid w:val="00B45DEA"/>
    <w:rsid w:val="00B47D75"/>
    <w:rsid w:val="00B5061C"/>
    <w:rsid w:val="00B50E36"/>
    <w:rsid w:val="00B51F0C"/>
    <w:rsid w:val="00B52376"/>
    <w:rsid w:val="00B52FDB"/>
    <w:rsid w:val="00B53D7C"/>
    <w:rsid w:val="00B54432"/>
    <w:rsid w:val="00B560BF"/>
    <w:rsid w:val="00B5623E"/>
    <w:rsid w:val="00B56DD6"/>
    <w:rsid w:val="00B61A75"/>
    <w:rsid w:val="00B61B28"/>
    <w:rsid w:val="00B628F6"/>
    <w:rsid w:val="00B63975"/>
    <w:rsid w:val="00B63B25"/>
    <w:rsid w:val="00B640CA"/>
    <w:rsid w:val="00B6436A"/>
    <w:rsid w:val="00B64CBE"/>
    <w:rsid w:val="00B669CA"/>
    <w:rsid w:val="00B6774F"/>
    <w:rsid w:val="00B70063"/>
    <w:rsid w:val="00B70757"/>
    <w:rsid w:val="00B71926"/>
    <w:rsid w:val="00B72FD0"/>
    <w:rsid w:val="00B74728"/>
    <w:rsid w:val="00B74A32"/>
    <w:rsid w:val="00B74A58"/>
    <w:rsid w:val="00B7502D"/>
    <w:rsid w:val="00B7530B"/>
    <w:rsid w:val="00B75CC5"/>
    <w:rsid w:val="00B75F08"/>
    <w:rsid w:val="00B766A9"/>
    <w:rsid w:val="00B76D63"/>
    <w:rsid w:val="00B81513"/>
    <w:rsid w:val="00B81C17"/>
    <w:rsid w:val="00B831C4"/>
    <w:rsid w:val="00B83FFE"/>
    <w:rsid w:val="00B84AB8"/>
    <w:rsid w:val="00B85D29"/>
    <w:rsid w:val="00B86811"/>
    <w:rsid w:val="00B86C16"/>
    <w:rsid w:val="00B86D78"/>
    <w:rsid w:val="00B8786E"/>
    <w:rsid w:val="00B878CC"/>
    <w:rsid w:val="00B90BB1"/>
    <w:rsid w:val="00B90D8D"/>
    <w:rsid w:val="00B9187A"/>
    <w:rsid w:val="00B91991"/>
    <w:rsid w:val="00B91BBF"/>
    <w:rsid w:val="00B91F52"/>
    <w:rsid w:val="00B92692"/>
    <w:rsid w:val="00B92BF4"/>
    <w:rsid w:val="00B93E07"/>
    <w:rsid w:val="00B9505D"/>
    <w:rsid w:val="00B9519D"/>
    <w:rsid w:val="00B95D61"/>
    <w:rsid w:val="00B95E66"/>
    <w:rsid w:val="00B968D9"/>
    <w:rsid w:val="00B9778F"/>
    <w:rsid w:val="00BA09D6"/>
    <w:rsid w:val="00BA15DF"/>
    <w:rsid w:val="00BA376D"/>
    <w:rsid w:val="00BA37DD"/>
    <w:rsid w:val="00BA3F58"/>
    <w:rsid w:val="00BA5510"/>
    <w:rsid w:val="00BA6188"/>
    <w:rsid w:val="00BA68AF"/>
    <w:rsid w:val="00BA6B55"/>
    <w:rsid w:val="00BA794C"/>
    <w:rsid w:val="00BA7BCA"/>
    <w:rsid w:val="00BA7C28"/>
    <w:rsid w:val="00BB0A73"/>
    <w:rsid w:val="00BB1EC8"/>
    <w:rsid w:val="00BB24EB"/>
    <w:rsid w:val="00BB296D"/>
    <w:rsid w:val="00BB3F20"/>
    <w:rsid w:val="00BB439D"/>
    <w:rsid w:val="00BB4B7F"/>
    <w:rsid w:val="00BB4CFE"/>
    <w:rsid w:val="00BB4DD9"/>
    <w:rsid w:val="00BB5F16"/>
    <w:rsid w:val="00BB6025"/>
    <w:rsid w:val="00BB7D66"/>
    <w:rsid w:val="00BB7FA9"/>
    <w:rsid w:val="00BC044E"/>
    <w:rsid w:val="00BC0D3E"/>
    <w:rsid w:val="00BC1E6C"/>
    <w:rsid w:val="00BC2DD6"/>
    <w:rsid w:val="00BC306D"/>
    <w:rsid w:val="00BC3934"/>
    <w:rsid w:val="00BC3BAC"/>
    <w:rsid w:val="00BC4379"/>
    <w:rsid w:val="00BC4A68"/>
    <w:rsid w:val="00BC6256"/>
    <w:rsid w:val="00BC7282"/>
    <w:rsid w:val="00BD0A89"/>
    <w:rsid w:val="00BD1328"/>
    <w:rsid w:val="00BD3A8C"/>
    <w:rsid w:val="00BD3B68"/>
    <w:rsid w:val="00BD4852"/>
    <w:rsid w:val="00BD4C0B"/>
    <w:rsid w:val="00BD5275"/>
    <w:rsid w:val="00BD6301"/>
    <w:rsid w:val="00BD6A48"/>
    <w:rsid w:val="00BE1BFB"/>
    <w:rsid w:val="00BE1F35"/>
    <w:rsid w:val="00BE2294"/>
    <w:rsid w:val="00BE22D4"/>
    <w:rsid w:val="00BE289C"/>
    <w:rsid w:val="00BE2E5E"/>
    <w:rsid w:val="00BE6A06"/>
    <w:rsid w:val="00BE6A28"/>
    <w:rsid w:val="00BE6EE4"/>
    <w:rsid w:val="00BE777C"/>
    <w:rsid w:val="00BE7BFC"/>
    <w:rsid w:val="00BF06A5"/>
    <w:rsid w:val="00BF2A8B"/>
    <w:rsid w:val="00BF46EB"/>
    <w:rsid w:val="00BF47E6"/>
    <w:rsid w:val="00BF6214"/>
    <w:rsid w:val="00BF6B22"/>
    <w:rsid w:val="00BF79E6"/>
    <w:rsid w:val="00C001C3"/>
    <w:rsid w:val="00C0244B"/>
    <w:rsid w:val="00C02E83"/>
    <w:rsid w:val="00C03702"/>
    <w:rsid w:val="00C03DCF"/>
    <w:rsid w:val="00C051DB"/>
    <w:rsid w:val="00C05A8A"/>
    <w:rsid w:val="00C05BA9"/>
    <w:rsid w:val="00C05EA7"/>
    <w:rsid w:val="00C0601D"/>
    <w:rsid w:val="00C0654A"/>
    <w:rsid w:val="00C06D56"/>
    <w:rsid w:val="00C07355"/>
    <w:rsid w:val="00C102E4"/>
    <w:rsid w:val="00C113F7"/>
    <w:rsid w:val="00C11596"/>
    <w:rsid w:val="00C117E0"/>
    <w:rsid w:val="00C11DED"/>
    <w:rsid w:val="00C128EC"/>
    <w:rsid w:val="00C12C04"/>
    <w:rsid w:val="00C13D45"/>
    <w:rsid w:val="00C14E77"/>
    <w:rsid w:val="00C151FB"/>
    <w:rsid w:val="00C15218"/>
    <w:rsid w:val="00C15990"/>
    <w:rsid w:val="00C160B5"/>
    <w:rsid w:val="00C1613E"/>
    <w:rsid w:val="00C1638C"/>
    <w:rsid w:val="00C16A62"/>
    <w:rsid w:val="00C17C6F"/>
    <w:rsid w:val="00C20875"/>
    <w:rsid w:val="00C20A89"/>
    <w:rsid w:val="00C212D9"/>
    <w:rsid w:val="00C21A14"/>
    <w:rsid w:val="00C22280"/>
    <w:rsid w:val="00C22E7C"/>
    <w:rsid w:val="00C269FB"/>
    <w:rsid w:val="00C27335"/>
    <w:rsid w:val="00C27451"/>
    <w:rsid w:val="00C302E2"/>
    <w:rsid w:val="00C31001"/>
    <w:rsid w:val="00C32241"/>
    <w:rsid w:val="00C32C8E"/>
    <w:rsid w:val="00C32CE0"/>
    <w:rsid w:val="00C32F91"/>
    <w:rsid w:val="00C33206"/>
    <w:rsid w:val="00C33880"/>
    <w:rsid w:val="00C34038"/>
    <w:rsid w:val="00C340FA"/>
    <w:rsid w:val="00C3418B"/>
    <w:rsid w:val="00C3463A"/>
    <w:rsid w:val="00C3469C"/>
    <w:rsid w:val="00C34B13"/>
    <w:rsid w:val="00C353BE"/>
    <w:rsid w:val="00C37A61"/>
    <w:rsid w:val="00C40463"/>
    <w:rsid w:val="00C404C5"/>
    <w:rsid w:val="00C40AE9"/>
    <w:rsid w:val="00C40E38"/>
    <w:rsid w:val="00C41984"/>
    <w:rsid w:val="00C4228D"/>
    <w:rsid w:val="00C4308F"/>
    <w:rsid w:val="00C443C8"/>
    <w:rsid w:val="00C47176"/>
    <w:rsid w:val="00C47236"/>
    <w:rsid w:val="00C50212"/>
    <w:rsid w:val="00C50613"/>
    <w:rsid w:val="00C531C3"/>
    <w:rsid w:val="00C53352"/>
    <w:rsid w:val="00C557DA"/>
    <w:rsid w:val="00C564D7"/>
    <w:rsid w:val="00C569F5"/>
    <w:rsid w:val="00C56C42"/>
    <w:rsid w:val="00C57145"/>
    <w:rsid w:val="00C60830"/>
    <w:rsid w:val="00C60D0C"/>
    <w:rsid w:val="00C61340"/>
    <w:rsid w:val="00C61784"/>
    <w:rsid w:val="00C61A25"/>
    <w:rsid w:val="00C61F0B"/>
    <w:rsid w:val="00C62121"/>
    <w:rsid w:val="00C628F9"/>
    <w:rsid w:val="00C62E7A"/>
    <w:rsid w:val="00C633CE"/>
    <w:rsid w:val="00C638AE"/>
    <w:rsid w:val="00C65039"/>
    <w:rsid w:val="00C66079"/>
    <w:rsid w:val="00C66CD9"/>
    <w:rsid w:val="00C67452"/>
    <w:rsid w:val="00C7323E"/>
    <w:rsid w:val="00C736DA"/>
    <w:rsid w:val="00C73948"/>
    <w:rsid w:val="00C739C0"/>
    <w:rsid w:val="00C73A3A"/>
    <w:rsid w:val="00C7439D"/>
    <w:rsid w:val="00C74B61"/>
    <w:rsid w:val="00C75085"/>
    <w:rsid w:val="00C7517D"/>
    <w:rsid w:val="00C7622B"/>
    <w:rsid w:val="00C76656"/>
    <w:rsid w:val="00C766EF"/>
    <w:rsid w:val="00C76C0C"/>
    <w:rsid w:val="00C76D65"/>
    <w:rsid w:val="00C76FD7"/>
    <w:rsid w:val="00C77942"/>
    <w:rsid w:val="00C7798F"/>
    <w:rsid w:val="00C80A32"/>
    <w:rsid w:val="00C80B31"/>
    <w:rsid w:val="00C8111F"/>
    <w:rsid w:val="00C81558"/>
    <w:rsid w:val="00C81B63"/>
    <w:rsid w:val="00C83ACA"/>
    <w:rsid w:val="00C84195"/>
    <w:rsid w:val="00C854DF"/>
    <w:rsid w:val="00C8652D"/>
    <w:rsid w:val="00C8697A"/>
    <w:rsid w:val="00C873AD"/>
    <w:rsid w:val="00C90396"/>
    <w:rsid w:val="00C9154C"/>
    <w:rsid w:val="00C915DC"/>
    <w:rsid w:val="00C916E4"/>
    <w:rsid w:val="00C91B47"/>
    <w:rsid w:val="00C92D6C"/>
    <w:rsid w:val="00C92DF3"/>
    <w:rsid w:val="00C93223"/>
    <w:rsid w:val="00C9357E"/>
    <w:rsid w:val="00C93888"/>
    <w:rsid w:val="00C93C7D"/>
    <w:rsid w:val="00C942C8"/>
    <w:rsid w:val="00C94328"/>
    <w:rsid w:val="00C94B4B"/>
    <w:rsid w:val="00C95184"/>
    <w:rsid w:val="00C95ABB"/>
    <w:rsid w:val="00C95C65"/>
    <w:rsid w:val="00C97948"/>
    <w:rsid w:val="00C97FEA"/>
    <w:rsid w:val="00CA3187"/>
    <w:rsid w:val="00CA4854"/>
    <w:rsid w:val="00CA4D40"/>
    <w:rsid w:val="00CA50BB"/>
    <w:rsid w:val="00CA570E"/>
    <w:rsid w:val="00CA590E"/>
    <w:rsid w:val="00CB056F"/>
    <w:rsid w:val="00CB2310"/>
    <w:rsid w:val="00CB3120"/>
    <w:rsid w:val="00CB31D2"/>
    <w:rsid w:val="00CB43D8"/>
    <w:rsid w:val="00CB46E5"/>
    <w:rsid w:val="00CB6323"/>
    <w:rsid w:val="00CB6AE1"/>
    <w:rsid w:val="00CC140F"/>
    <w:rsid w:val="00CC2140"/>
    <w:rsid w:val="00CC3BC5"/>
    <w:rsid w:val="00CC5E9C"/>
    <w:rsid w:val="00CC6A18"/>
    <w:rsid w:val="00CC6A82"/>
    <w:rsid w:val="00CC7A81"/>
    <w:rsid w:val="00CC7B34"/>
    <w:rsid w:val="00CC7CE8"/>
    <w:rsid w:val="00CC7E79"/>
    <w:rsid w:val="00CD0149"/>
    <w:rsid w:val="00CD064C"/>
    <w:rsid w:val="00CD0FA9"/>
    <w:rsid w:val="00CD1154"/>
    <w:rsid w:val="00CD1DE2"/>
    <w:rsid w:val="00CD2FF9"/>
    <w:rsid w:val="00CD45F7"/>
    <w:rsid w:val="00CD5868"/>
    <w:rsid w:val="00CD625C"/>
    <w:rsid w:val="00CD67F8"/>
    <w:rsid w:val="00CD6940"/>
    <w:rsid w:val="00CE007B"/>
    <w:rsid w:val="00CE154B"/>
    <w:rsid w:val="00CE1767"/>
    <w:rsid w:val="00CE252B"/>
    <w:rsid w:val="00CE3539"/>
    <w:rsid w:val="00CE42FD"/>
    <w:rsid w:val="00CE547A"/>
    <w:rsid w:val="00CE5A7E"/>
    <w:rsid w:val="00CE6693"/>
    <w:rsid w:val="00CE69C7"/>
    <w:rsid w:val="00CE6A8F"/>
    <w:rsid w:val="00CE7245"/>
    <w:rsid w:val="00CF04B2"/>
    <w:rsid w:val="00CF12E7"/>
    <w:rsid w:val="00CF15DA"/>
    <w:rsid w:val="00CF19F7"/>
    <w:rsid w:val="00CF2307"/>
    <w:rsid w:val="00CF2318"/>
    <w:rsid w:val="00CF27DB"/>
    <w:rsid w:val="00CF3E2D"/>
    <w:rsid w:val="00CF404C"/>
    <w:rsid w:val="00CF49BC"/>
    <w:rsid w:val="00CF577B"/>
    <w:rsid w:val="00CF5CC2"/>
    <w:rsid w:val="00CF6A8A"/>
    <w:rsid w:val="00CF7320"/>
    <w:rsid w:val="00CF7F0C"/>
    <w:rsid w:val="00D01A3E"/>
    <w:rsid w:val="00D0253C"/>
    <w:rsid w:val="00D0268C"/>
    <w:rsid w:val="00D02A58"/>
    <w:rsid w:val="00D049B7"/>
    <w:rsid w:val="00D04D2A"/>
    <w:rsid w:val="00D05214"/>
    <w:rsid w:val="00D05C58"/>
    <w:rsid w:val="00D05CAE"/>
    <w:rsid w:val="00D101F3"/>
    <w:rsid w:val="00D10518"/>
    <w:rsid w:val="00D1078D"/>
    <w:rsid w:val="00D12D47"/>
    <w:rsid w:val="00D13FC8"/>
    <w:rsid w:val="00D1526B"/>
    <w:rsid w:val="00D15378"/>
    <w:rsid w:val="00D153DB"/>
    <w:rsid w:val="00D1602F"/>
    <w:rsid w:val="00D1662A"/>
    <w:rsid w:val="00D205EB"/>
    <w:rsid w:val="00D2259D"/>
    <w:rsid w:val="00D22B77"/>
    <w:rsid w:val="00D22E15"/>
    <w:rsid w:val="00D22EA4"/>
    <w:rsid w:val="00D2328D"/>
    <w:rsid w:val="00D24877"/>
    <w:rsid w:val="00D24BCF"/>
    <w:rsid w:val="00D254AA"/>
    <w:rsid w:val="00D25521"/>
    <w:rsid w:val="00D257B0"/>
    <w:rsid w:val="00D26B29"/>
    <w:rsid w:val="00D26CD8"/>
    <w:rsid w:val="00D26DC7"/>
    <w:rsid w:val="00D2703E"/>
    <w:rsid w:val="00D3030B"/>
    <w:rsid w:val="00D30852"/>
    <w:rsid w:val="00D318F0"/>
    <w:rsid w:val="00D31DD5"/>
    <w:rsid w:val="00D31E87"/>
    <w:rsid w:val="00D31F10"/>
    <w:rsid w:val="00D32518"/>
    <w:rsid w:val="00D33614"/>
    <w:rsid w:val="00D349F3"/>
    <w:rsid w:val="00D34B2E"/>
    <w:rsid w:val="00D35A4E"/>
    <w:rsid w:val="00D370E5"/>
    <w:rsid w:val="00D37194"/>
    <w:rsid w:val="00D405AC"/>
    <w:rsid w:val="00D406F5"/>
    <w:rsid w:val="00D40712"/>
    <w:rsid w:val="00D40DF3"/>
    <w:rsid w:val="00D41874"/>
    <w:rsid w:val="00D4209A"/>
    <w:rsid w:val="00D4329D"/>
    <w:rsid w:val="00D435D6"/>
    <w:rsid w:val="00D44C6D"/>
    <w:rsid w:val="00D459C8"/>
    <w:rsid w:val="00D45F7E"/>
    <w:rsid w:val="00D4613B"/>
    <w:rsid w:val="00D4614C"/>
    <w:rsid w:val="00D473A3"/>
    <w:rsid w:val="00D5019B"/>
    <w:rsid w:val="00D50272"/>
    <w:rsid w:val="00D5060F"/>
    <w:rsid w:val="00D516C7"/>
    <w:rsid w:val="00D527AC"/>
    <w:rsid w:val="00D5408E"/>
    <w:rsid w:val="00D55742"/>
    <w:rsid w:val="00D57652"/>
    <w:rsid w:val="00D57800"/>
    <w:rsid w:val="00D5786E"/>
    <w:rsid w:val="00D57F1D"/>
    <w:rsid w:val="00D6186F"/>
    <w:rsid w:val="00D63245"/>
    <w:rsid w:val="00D66415"/>
    <w:rsid w:val="00D669D7"/>
    <w:rsid w:val="00D67AB1"/>
    <w:rsid w:val="00D67BDC"/>
    <w:rsid w:val="00D70147"/>
    <w:rsid w:val="00D7090C"/>
    <w:rsid w:val="00D70F62"/>
    <w:rsid w:val="00D71330"/>
    <w:rsid w:val="00D716D7"/>
    <w:rsid w:val="00D71E2D"/>
    <w:rsid w:val="00D72189"/>
    <w:rsid w:val="00D7233D"/>
    <w:rsid w:val="00D72445"/>
    <w:rsid w:val="00D72551"/>
    <w:rsid w:val="00D72F53"/>
    <w:rsid w:val="00D74039"/>
    <w:rsid w:val="00D74E08"/>
    <w:rsid w:val="00D752DE"/>
    <w:rsid w:val="00D753DE"/>
    <w:rsid w:val="00D775A3"/>
    <w:rsid w:val="00D77BF9"/>
    <w:rsid w:val="00D77EA4"/>
    <w:rsid w:val="00D80394"/>
    <w:rsid w:val="00D8043C"/>
    <w:rsid w:val="00D80526"/>
    <w:rsid w:val="00D80E75"/>
    <w:rsid w:val="00D81225"/>
    <w:rsid w:val="00D820DA"/>
    <w:rsid w:val="00D82F8C"/>
    <w:rsid w:val="00D8368E"/>
    <w:rsid w:val="00D837CD"/>
    <w:rsid w:val="00D83F0C"/>
    <w:rsid w:val="00D85731"/>
    <w:rsid w:val="00D859D4"/>
    <w:rsid w:val="00D85D48"/>
    <w:rsid w:val="00D86C9C"/>
    <w:rsid w:val="00D873A5"/>
    <w:rsid w:val="00D8784B"/>
    <w:rsid w:val="00D90338"/>
    <w:rsid w:val="00D90448"/>
    <w:rsid w:val="00D9115D"/>
    <w:rsid w:val="00D91C14"/>
    <w:rsid w:val="00D91C9F"/>
    <w:rsid w:val="00D9313B"/>
    <w:rsid w:val="00D939D5"/>
    <w:rsid w:val="00D93BBB"/>
    <w:rsid w:val="00D94123"/>
    <w:rsid w:val="00D946A0"/>
    <w:rsid w:val="00D94C91"/>
    <w:rsid w:val="00D94E80"/>
    <w:rsid w:val="00D94F47"/>
    <w:rsid w:val="00D9621D"/>
    <w:rsid w:val="00D96277"/>
    <w:rsid w:val="00D96657"/>
    <w:rsid w:val="00D967A0"/>
    <w:rsid w:val="00DA0333"/>
    <w:rsid w:val="00DA0397"/>
    <w:rsid w:val="00DA1872"/>
    <w:rsid w:val="00DA2A0B"/>
    <w:rsid w:val="00DA2E2F"/>
    <w:rsid w:val="00DA3768"/>
    <w:rsid w:val="00DA40EF"/>
    <w:rsid w:val="00DA4A5D"/>
    <w:rsid w:val="00DA4C9F"/>
    <w:rsid w:val="00DA5CAA"/>
    <w:rsid w:val="00DA5D0A"/>
    <w:rsid w:val="00DA6C80"/>
    <w:rsid w:val="00DA7508"/>
    <w:rsid w:val="00DB0D31"/>
    <w:rsid w:val="00DB12FF"/>
    <w:rsid w:val="00DB1795"/>
    <w:rsid w:val="00DB3606"/>
    <w:rsid w:val="00DB428B"/>
    <w:rsid w:val="00DB43A9"/>
    <w:rsid w:val="00DB44AC"/>
    <w:rsid w:val="00DB4649"/>
    <w:rsid w:val="00DB5401"/>
    <w:rsid w:val="00DB668F"/>
    <w:rsid w:val="00DB66C0"/>
    <w:rsid w:val="00DB780C"/>
    <w:rsid w:val="00DB7F20"/>
    <w:rsid w:val="00DC0D56"/>
    <w:rsid w:val="00DC0E47"/>
    <w:rsid w:val="00DC13AE"/>
    <w:rsid w:val="00DC32EB"/>
    <w:rsid w:val="00DC4742"/>
    <w:rsid w:val="00DC505E"/>
    <w:rsid w:val="00DC5741"/>
    <w:rsid w:val="00DC6C5C"/>
    <w:rsid w:val="00DC6CA1"/>
    <w:rsid w:val="00DC6CE1"/>
    <w:rsid w:val="00DC6E19"/>
    <w:rsid w:val="00DC6EFE"/>
    <w:rsid w:val="00DC742F"/>
    <w:rsid w:val="00DC771F"/>
    <w:rsid w:val="00DC7C47"/>
    <w:rsid w:val="00DD0C00"/>
    <w:rsid w:val="00DD1533"/>
    <w:rsid w:val="00DD2ECE"/>
    <w:rsid w:val="00DD32EA"/>
    <w:rsid w:val="00DD3F17"/>
    <w:rsid w:val="00DD470F"/>
    <w:rsid w:val="00DD6619"/>
    <w:rsid w:val="00DD671D"/>
    <w:rsid w:val="00DD77DE"/>
    <w:rsid w:val="00DD7D18"/>
    <w:rsid w:val="00DD7EC7"/>
    <w:rsid w:val="00DE0169"/>
    <w:rsid w:val="00DE1557"/>
    <w:rsid w:val="00DE221B"/>
    <w:rsid w:val="00DE4C48"/>
    <w:rsid w:val="00DE56FC"/>
    <w:rsid w:val="00DE645C"/>
    <w:rsid w:val="00DE7932"/>
    <w:rsid w:val="00DE7B43"/>
    <w:rsid w:val="00DF01D3"/>
    <w:rsid w:val="00DF10E4"/>
    <w:rsid w:val="00DF12F4"/>
    <w:rsid w:val="00DF19AC"/>
    <w:rsid w:val="00DF20F8"/>
    <w:rsid w:val="00DF2202"/>
    <w:rsid w:val="00DF2FB3"/>
    <w:rsid w:val="00DF3464"/>
    <w:rsid w:val="00DF3A7E"/>
    <w:rsid w:val="00DF4952"/>
    <w:rsid w:val="00DF4C69"/>
    <w:rsid w:val="00DF4D25"/>
    <w:rsid w:val="00DF606F"/>
    <w:rsid w:val="00DF64C7"/>
    <w:rsid w:val="00DF6FF8"/>
    <w:rsid w:val="00DF747D"/>
    <w:rsid w:val="00DF7792"/>
    <w:rsid w:val="00DF787F"/>
    <w:rsid w:val="00E0040A"/>
    <w:rsid w:val="00E00617"/>
    <w:rsid w:val="00E0135D"/>
    <w:rsid w:val="00E01CF0"/>
    <w:rsid w:val="00E025BD"/>
    <w:rsid w:val="00E041A9"/>
    <w:rsid w:val="00E05F7D"/>
    <w:rsid w:val="00E072F1"/>
    <w:rsid w:val="00E07667"/>
    <w:rsid w:val="00E07956"/>
    <w:rsid w:val="00E10F02"/>
    <w:rsid w:val="00E119C7"/>
    <w:rsid w:val="00E125D6"/>
    <w:rsid w:val="00E1307A"/>
    <w:rsid w:val="00E13A04"/>
    <w:rsid w:val="00E15AE4"/>
    <w:rsid w:val="00E15C14"/>
    <w:rsid w:val="00E15FAA"/>
    <w:rsid w:val="00E1609B"/>
    <w:rsid w:val="00E160BE"/>
    <w:rsid w:val="00E16D46"/>
    <w:rsid w:val="00E16D77"/>
    <w:rsid w:val="00E16F08"/>
    <w:rsid w:val="00E16FF5"/>
    <w:rsid w:val="00E17674"/>
    <w:rsid w:val="00E2038E"/>
    <w:rsid w:val="00E21324"/>
    <w:rsid w:val="00E213B0"/>
    <w:rsid w:val="00E21423"/>
    <w:rsid w:val="00E21A5C"/>
    <w:rsid w:val="00E21AD6"/>
    <w:rsid w:val="00E21F0C"/>
    <w:rsid w:val="00E224F4"/>
    <w:rsid w:val="00E22973"/>
    <w:rsid w:val="00E22B61"/>
    <w:rsid w:val="00E242FA"/>
    <w:rsid w:val="00E25126"/>
    <w:rsid w:val="00E25AB8"/>
    <w:rsid w:val="00E25C28"/>
    <w:rsid w:val="00E2669C"/>
    <w:rsid w:val="00E26721"/>
    <w:rsid w:val="00E275F1"/>
    <w:rsid w:val="00E27D59"/>
    <w:rsid w:val="00E307EC"/>
    <w:rsid w:val="00E30F54"/>
    <w:rsid w:val="00E30FFA"/>
    <w:rsid w:val="00E31165"/>
    <w:rsid w:val="00E31CB3"/>
    <w:rsid w:val="00E31D2F"/>
    <w:rsid w:val="00E32350"/>
    <w:rsid w:val="00E324AD"/>
    <w:rsid w:val="00E324D6"/>
    <w:rsid w:val="00E32A2A"/>
    <w:rsid w:val="00E32D19"/>
    <w:rsid w:val="00E3326F"/>
    <w:rsid w:val="00E33B1F"/>
    <w:rsid w:val="00E34D65"/>
    <w:rsid w:val="00E35B79"/>
    <w:rsid w:val="00E36C8E"/>
    <w:rsid w:val="00E37E7C"/>
    <w:rsid w:val="00E402D1"/>
    <w:rsid w:val="00E41A3A"/>
    <w:rsid w:val="00E41D22"/>
    <w:rsid w:val="00E43DF5"/>
    <w:rsid w:val="00E43F88"/>
    <w:rsid w:val="00E44152"/>
    <w:rsid w:val="00E44342"/>
    <w:rsid w:val="00E4445B"/>
    <w:rsid w:val="00E44730"/>
    <w:rsid w:val="00E4548C"/>
    <w:rsid w:val="00E4575C"/>
    <w:rsid w:val="00E45B2E"/>
    <w:rsid w:val="00E45C3C"/>
    <w:rsid w:val="00E466CE"/>
    <w:rsid w:val="00E468D7"/>
    <w:rsid w:val="00E46A00"/>
    <w:rsid w:val="00E46DAB"/>
    <w:rsid w:val="00E47291"/>
    <w:rsid w:val="00E47B67"/>
    <w:rsid w:val="00E47E1E"/>
    <w:rsid w:val="00E50414"/>
    <w:rsid w:val="00E51377"/>
    <w:rsid w:val="00E5147E"/>
    <w:rsid w:val="00E5208C"/>
    <w:rsid w:val="00E525F3"/>
    <w:rsid w:val="00E52ECC"/>
    <w:rsid w:val="00E534C5"/>
    <w:rsid w:val="00E53B52"/>
    <w:rsid w:val="00E5535A"/>
    <w:rsid w:val="00E5563E"/>
    <w:rsid w:val="00E55B11"/>
    <w:rsid w:val="00E55CF8"/>
    <w:rsid w:val="00E56D62"/>
    <w:rsid w:val="00E6123D"/>
    <w:rsid w:val="00E6191D"/>
    <w:rsid w:val="00E629A9"/>
    <w:rsid w:val="00E62C21"/>
    <w:rsid w:val="00E641EB"/>
    <w:rsid w:val="00E64922"/>
    <w:rsid w:val="00E65ECE"/>
    <w:rsid w:val="00E65F1A"/>
    <w:rsid w:val="00E664A9"/>
    <w:rsid w:val="00E665DB"/>
    <w:rsid w:val="00E66863"/>
    <w:rsid w:val="00E679BA"/>
    <w:rsid w:val="00E70278"/>
    <w:rsid w:val="00E705DD"/>
    <w:rsid w:val="00E70EAF"/>
    <w:rsid w:val="00E71713"/>
    <w:rsid w:val="00E7279C"/>
    <w:rsid w:val="00E732F5"/>
    <w:rsid w:val="00E7415D"/>
    <w:rsid w:val="00E7522A"/>
    <w:rsid w:val="00E75C72"/>
    <w:rsid w:val="00E76873"/>
    <w:rsid w:val="00E77761"/>
    <w:rsid w:val="00E77C6C"/>
    <w:rsid w:val="00E80BC8"/>
    <w:rsid w:val="00E80EAF"/>
    <w:rsid w:val="00E81BA3"/>
    <w:rsid w:val="00E82171"/>
    <w:rsid w:val="00E824B3"/>
    <w:rsid w:val="00E83705"/>
    <w:rsid w:val="00E8472E"/>
    <w:rsid w:val="00E8495C"/>
    <w:rsid w:val="00E84D2D"/>
    <w:rsid w:val="00E85BAB"/>
    <w:rsid w:val="00E85D06"/>
    <w:rsid w:val="00E86B03"/>
    <w:rsid w:val="00E86EAC"/>
    <w:rsid w:val="00E86F66"/>
    <w:rsid w:val="00E906DE"/>
    <w:rsid w:val="00E90F7E"/>
    <w:rsid w:val="00E9156C"/>
    <w:rsid w:val="00E92E2D"/>
    <w:rsid w:val="00E939DF"/>
    <w:rsid w:val="00E9506F"/>
    <w:rsid w:val="00E950C6"/>
    <w:rsid w:val="00E953F3"/>
    <w:rsid w:val="00E9544E"/>
    <w:rsid w:val="00E95694"/>
    <w:rsid w:val="00E9625D"/>
    <w:rsid w:val="00E975D5"/>
    <w:rsid w:val="00E97FE3"/>
    <w:rsid w:val="00EA03C5"/>
    <w:rsid w:val="00EA0882"/>
    <w:rsid w:val="00EA08B5"/>
    <w:rsid w:val="00EA0D11"/>
    <w:rsid w:val="00EA2912"/>
    <w:rsid w:val="00EA2D05"/>
    <w:rsid w:val="00EA5B45"/>
    <w:rsid w:val="00EA5F17"/>
    <w:rsid w:val="00EA69D9"/>
    <w:rsid w:val="00EB0240"/>
    <w:rsid w:val="00EB10B5"/>
    <w:rsid w:val="00EB13B3"/>
    <w:rsid w:val="00EB1BF0"/>
    <w:rsid w:val="00EB2806"/>
    <w:rsid w:val="00EB2EAC"/>
    <w:rsid w:val="00EB3D55"/>
    <w:rsid w:val="00EB6240"/>
    <w:rsid w:val="00EC05A1"/>
    <w:rsid w:val="00EC0CAC"/>
    <w:rsid w:val="00EC0DAA"/>
    <w:rsid w:val="00EC0EE4"/>
    <w:rsid w:val="00EC1C08"/>
    <w:rsid w:val="00EC23D3"/>
    <w:rsid w:val="00EC2C2B"/>
    <w:rsid w:val="00EC35E9"/>
    <w:rsid w:val="00EC6196"/>
    <w:rsid w:val="00EC6DA3"/>
    <w:rsid w:val="00ED189C"/>
    <w:rsid w:val="00ED2034"/>
    <w:rsid w:val="00ED2E48"/>
    <w:rsid w:val="00ED343B"/>
    <w:rsid w:val="00ED73E4"/>
    <w:rsid w:val="00ED79E2"/>
    <w:rsid w:val="00ED7AEE"/>
    <w:rsid w:val="00EE2633"/>
    <w:rsid w:val="00EE290B"/>
    <w:rsid w:val="00EE3AAB"/>
    <w:rsid w:val="00EE3D03"/>
    <w:rsid w:val="00EE5146"/>
    <w:rsid w:val="00EE51E5"/>
    <w:rsid w:val="00EE5DED"/>
    <w:rsid w:val="00EE6CC9"/>
    <w:rsid w:val="00EE6DB0"/>
    <w:rsid w:val="00EE6FFE"/>
    <w:rsid w:val="00EE7CB9"/>
    <w:rsid w:val="00EF013E"/>
    <w:rsid w:val="00EF0336"/>
    <w:rsid w:val="00EF0CC8"/>
    <w:rsid w:val="00EF0E2D"/>
    <w:rsid w:val="00EF1445"/>
    <w:rsid w:val="00EF23A1"/>
    <w:rsid w:val="00EF25CE"/>
    <w:rsid w:val="00EF3CF7"/>
    <w:rsid w:val="00EF3EBF"/>
    <w:rsid w:val="00EF50BE"/>
    <w:rsid w:val="00EF58C9"/>
    <w:rsid w:val="00EF6597"/>
    <w:rsid w:val="00EF7761"/>
    <w:rsid w:val="00EF7A03"/>
    <w:rsid w:val="00F00004"/>
    <w:rsid w:val="00F00B46"/>
    <w:rsid w:val="00F0162D"/>
    <w:rsid w:val="00F02B61"/>
    <w:rsid w:val="00F03565"/>
    <w:rsid w:val="00F0374B"/>
    <w:rsid w:val="00F03965"/>
    <w:rsid w:val="00F03D36"/>
    <w:rsid w:val="00F053C6"/>
    <w:rsid w:val="00F05DC1"/>
    <w:rsid w:val="00F05ED8"/>
    <w:rsid w:val="00F064D4"/>
    <w:rsid w:val="00F06631"/>
    <w:rsid w:val="00F07FF5"/>
    <w:rsid w:val="00F101FC"/>
    <w:rsid w:val="00F10B30"/>
    <w:rsid w:val="00F11128"/>
    <w:rsid w:val="00F13630"/>
    <w:rsid w:val="00F138E7"/>
    <w:rsid w:val="00F13CEE"/>
    <w:rsid w:val="00F13D9C"/>
    <w:rsid w:val="00F141F4"/>
    <w:rsid w:val="00F16F76"/>
    <w:rsid w:val="00F17495"/>
    <w:rsid w:val="00F17A28"/>
    <w:rsid w:val="00F17CA9"/>
    <w:rsid w:val="00F17F8B"/>
    <w:rsid w:val="00F209A2"/>
    <w:rsid w:val="00F2172B"/>
    <w:rsid w:val="00F22673"/>
    <w:rsid w:val="00F22706"/>
    <w:rsid w:val="00F22DFA"/>
    <w:rsid w:val="00F236D4"/>
    <w:rsid w:val="00F24035"/>
    <w:rsid w:val="00F25297"/>
    <w:rsid w:val="00F25391"/>
    <w:rsid w:val="00F255D7"/>
    <w:rsid w:val="00F25679"/>
    <w:rsid w:val="00F27155"/>
    <w:rsid w:val="00F27410"/>
    <w:rsid w:val="00F27866"/>
    <w:rsid w:val="00F30087"/>
    <w:rsid w:val="00F307FF"/>
    <w:rsid w:val="00F30F39"/>
    <w:rsid w:val="00F310A1"/>
    <w:rsid w:val="00F3115A"/>
    <w:rsid w:val="00F3138C"/>
    <w:rsid w:val="00F31F55"/>
    <w:rsid w:val="00F32E5B"/>
    <w:rsid w:val="00F33552"/>
    <w:rsid w:val="00F34B2A"/>
    <w:rsid w:val="00F357EE"/>
    <w:rsid w:val="00F35B72"/>
    <w:rsid w:val="00F37D7E"/>
    <w:rsid w:val="00F400C4"/>
    <w:rsid w:val="00F40D49"/>
    <w:rsid w:val="00F416D7"/>
    <w:rsid w:val="00F41CEB"/>
    <w:rsid w:val="00F41DA7"/>
    <w:rsid w:val="00F4247A"/>
    <w:rsid w:val="00F44565"/>
    <w:rsid w:val="00F44A83"/>
    <w:rsid w:val="00F46C51"/>
    <w:rsid w:val="00F47054"/>
    <w:rsid w:val="00F472FC"/>
    <w:rsid w:val="00F5082B"/>
    <w:rsid w:val="00F50B45"/>
    <w:rsid w:val="00F51474"/>
    <w:rsid w:val="00F5203D"/>
    <w:rsid w:val="00F52F3B"/>
    <w:rsid w:val="00F53762"/>
    <w:rsid w:val="00F53DBD"/>
    <w:rsid w:val="00F5452D"/>
    <w:rsid w:val="00F548E2"/>
    <w:rsid w:val="00F549B8"/>
    <w:rsid w:val="00F54ABD"/>
    <w:rsid w:val="00F54CC4"/>
    <w:rsid w:val="00F55225"/>
    <w:rsid w:val="00F55259"/>
    <w:rsid w:val="00F555EF"/>
    <w:rsid w:val="00F56AD8"/>
    <w:rsid w:val="00F56D6E"/>
    <w:rsid w:val="00F5768D"/>
    <w:rsid w:val="00F577F8"/>
    <w:rsid w:val="00F602F3"/>
    <w:rsid w:val="00F604B2"/>
    <w:rsid w:val="00F61005"/>
    <w:rsid w:val="00F61AD5"/>
    <w:rsid w:val="00F628C6"/>
    <w:rsid w:val="00F635C5"/>
    <w:rsid w:val="00F63771"/>
    <w:rsid w:val="00F640A3"/>
    <w:rsid w:val="00F652F0"/>
    <w:rsid w:val="00F6562F"/>
    <w:rsid w:val="00F659F5"/>
    <w:rsid w:val="00F665BE"/>
    <w:rsid w:val="00F6745E"/>
    <w:rsid w:val="00F71245"/>
    <w:rsid w:val="00F71705"/>
    <w:rsid w:val="00F71FBD"/>
    <w:rsid w:val="00F7204F"/>
    <w:rsid w:val="00F72A18"/>
    <w:rsid w:val="00F736A9"/>
    <w:rsid w:val="00F754BD"/>
    <w:rsid w:val="00F75A80"/>
    <w:rsid w:val="00F75EDF"/>
    <w:rsid w:val="00F803B0"/>
    <w:rsid w:val="00F80DD1"/>
    <w:rsid w:val="00F80F9F"/>
    <w:rsid w:val="00F81004"/>
    <w:rsid w:val="00F81207"/>
    <w:rsid w:val="00F81C3F"/>
    <w:rsid w:val="00F83E43"/>
    <w:rsid w:val="00F84CEF"/>
    <w:rsid w:val="00F903B9"/>
    <w:rsid w:val="00F943F0"/>
    <w:rsid w:val="00F94926"/>
    <w:rsid w:val="00F94986"/>
    <w:rsid w:val="00F9559B"/>
    <w:rsid w:val="00F97397"/>
    <w:rsid w:val="00F97E6E"/>
    <w:rsid w:val="00FA02CC"/>
    <w:rsid w:val="00FA126B"/>
    <w:rsid w:val="00FA136F"/>
    <w:rsid w:val="00FA160D"/>
    <w:rsid w:val="00FA20BD"/>
    <w:rsid w:val="00FA27D0"/>
    <w:rsid w:val="00FA31BD"/>
    <w:rsid w:val="00FA3B93"/>
    <w:rsid w:val="00FA418F"/>
    <w:rsid w:val="00FA4DB9"/>
    <w:rsid w:val="00FA5841"/>
    <w:rsid w:val="00FA5E29"/>
    <w:rsid w:val="00FA5FE2"/>
    <w:rsid w:val="00FA6186"/>
    <w:rsid w:val="00FA6C69"/>
    <w:rsid w:val="00FA755A"/>
    <w:rsid w:val="00FA75A6"/>
    <w:rsid w:val="00FA7749"/>
    <w:rsid w:val="00FB0129"/>
    <w:rsid w:val="00FB0148"/>
    <w:rsid w:val="00FB0AA4"/>
    <w:rsid w:val="00FB0E00"/>
    <w:rsid w:val="00FB1369"/>
    <w:rsid w:val="00FB1B8B"/>
    <w:rsid w:val="00FB2FC4"/>
    <w:rsid w:val="00FB3AF3"/>
    <w:rsid w:val="00FB440F"/>
    <w:rsid w:val="00FB4529"/>
    <w:rsid w:val="00FB484E"/>
    <w:rsid w:val="00FB4A4B"/>
    <w:rsid w:val="00FB4AA1"/>
    <w:rsid w:val="00FB5728"/>
    <w:rsid w:val="00FB5A50"/>
    <w:rsid w:val="00FB71EE"/>
    <w:rsid w:val="00FB77EA"/>
    <w:rsid w:val="00FC0632"/>
    <w:rsid w:val="00FC11EE"/>
    <w:rsid w:val="00FC1652"/>
    <w:rsid w:val="00FC1751"/>
    <w:rsid w:val="00FC2476"/>
    <w:rsid w:val="00FC2752"/>
    <w:rsid w:val="00FC31D1"/>
    <w:rsid w:val="00FC32FA"/>
    <w:rsid w:val="00FC3B33"/>
    <w:rsid w:val="00FC3B87"/>
    <w:rsid w:val="00FC54E3"/>
    <w:rsid w:val="00FC5568"/>
    <w:rsid w:val="00FC5698"/>
    <w:rsid w:val="00FC5814"/>
    <w:rsid w:val="00FC58BE"/>
    <w:rsid w:val="00FC5DAA"/>
    <w:rsid w:val="00FC626E"/>
    <w:rsid w:val="00FC6DCC"/>
    <w:rsid w:val="00FC7516"/>
    <w:rsid w:val="00FC7AF3"/>
    <w:rsid w:val="00FC7F1D"/>
    <w:rsid w:val="00FD14D9"/>
    <w:rsid w:val="00FD1C23"/>
    <w:rsid w:val="00FD2303"/>
    <w:rsid w:val="00FD249F"/>
    <w:rsid w:val="00FD425F"/>
    <w:rsid w:val="00FD4B69"/>
    <w:rsid w:val="00FD640C"/>
    <w:rsid w:val="00FD6F37"/>
    <w:rsid w:val="00FD7346"/>
    <w:rsid w:val="00FD79D7"/>
    <w:rsid w:val="00FE0792"/>
    <w:rsid w:val="00FE151D"/>
    <w:rsid w:val="00FE22BF"/>
    <w:rsid w:val="00FE2CCF"/>
    <w:rsid w:val="00FE312F"/>
    <w:rsid w:val="00FE43A7"/>
    <w:rsid w:val="00FE44D8"/>
    <w:rsid w:val="00FE6320"/>
    <w:rsid w:val="00FE64AF"/>
    <w:rsid w:val="00FE6736"/>
    <w:rsid w:val="00FE67FA"/>
    <w:rsid w:val="00FE69CE"/>
    <w:rsid w:val="00FE6A25"/>
    <w:rsid w:val="00FE74E7"/>
    <w:rsid w:val="00FF0E48"/>
    <w:rsid w:val="00FF1C6A"/>
    <w:rsid w:val="00FF2201"/>
    <w:rsid w:val="00FF2231"/>
    <w:rsid w:val="00FF2EF3"/>
    <w:rsid w:val="00FF4209"/>
    <w:rsid w:val="00FF4410"/>
    <w:rsid w:val="00FF4EF5"/>
    <w:rsid w:val="00FF50A0"/>
    <w:rsid w:val="00FF5A30"/>
    <w:rsid w:val="00FF6EA6"/>
    <w:rsid w:val="00FF7E12"/>
    <w:rsid w:val="29052B8B"/>
    <w:rsid w:val="3BFC3772"/>
    <w:rsid w:val="7FDD6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F099E9"/>
  <w14:defaultImageDpi w14:val="32767"/>
  <w15:docId w15:val="{18DE12C5-7AE9-4775-B2B4-F1F121F1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jc w:val="left"/>
    </w:pPr>
    <w:rPr>
      <w:rFonts w:ascii="Arial" w:hAnsi="Arial"/>
      <w:b/>
      <w:bCs/>
      <w:kern w:val="0"/>
      <w:sz w:val="20"/>
      <w:szCs w:val="18"/>
      <w:lang w:eastAsia="en-US"/>
    </w:rPr>
  </w:style>
  <w:style w:type="paragraph" w:styleId="a4">
    <w:name w:val="annotation text"/>
    <w:basedOn w:val="a"/>
    <w:link w:val="a5"/>
    <w:uiPriority w:val="99"/>
    <w:unhideWhenUsed/>
    <w:pPr>
      <w:jc w:val="left"/>
    </w:pPr>
  </w:style>
  <w:style w:type="paragraph" w:styleId="a6">
    <w:name w:val="Balloon Text"/>
    <w:basedOn w:val="a"/>
    <w:link w:val="a7"/>
    <w:uiPriority w:val="99"/>
    <w:semiHidden/>
    <w:unhideWhenUsed/>
    <w:rPr>
      <w:rFonts w:ascii="Segoe UI" w:hAnsi="Segoe UI" w:cs="Segoe UI"/>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uiPriority w:val="99"/>
    <w:semiHidden/>
    <w:unhideWhenUsed/>
    <w:pPr>
      <w:spacing w:beforeAutospacing="1" w:afterAutospacing="1"/>
      <w:jc w:val="left"/>
    </w:pPr>
    <w:rPr>
      <w:rFonts w:cs="Times New Roman"/>
      <w:kern w:val="0"/>
      <w:sz w:val="24"/>
    </w:rPr>
  </w:style>
  <w:style w:type="paragraph" w:styleId="ad">
    <w:name w:val="annotation subject"/>
    <w:basedOn w:val="a4"/>
    <w:next w:val="a4"/>
    <w:link w:val="ae"/>
    <w:uiPriority w:val="99"/>
    <w:semiHidden/>
    <w:unhideWhenUsed/>
    <w:qFormat/>
    <w:rPr>
      <w:b/>
      <w:bCs/>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rPr>
  </w:style>
  <w:style w:type="character" w:styleId="af1">
    <w:name w:val="line number"/>
    <w:basedOn w:val="a0"/>
    <w:uiPriority w:val="99"/>
    <w:semiHidden/>
    <w:unhideWhenUsed/>
    <w:qFormat/>
  </w:style>
  <w:style w:type="character" w:styleId="af2">
    <w:name w:val="Hyperlink"/>
    <w:basedOn w:val="a0"/>
    <w:uiPriority w:val="99"/>
    <w:semiHidden/>
    <w:unhideWhenUsed/>
    <w:qFormat/>
    <w:rPr>
      <w:color w:val="0000FF"/>
      <w:u w:val="single"/>
    </w:rPr>
  </w:style>
  <w:style w:type="character" w:styleId="af3">
    <w:name w:val="annotation reference"/>
    <w:basedOn w:val="a0"/>
    <w:uiPriority w:val="99"/>
    <w:semiHidden/>
    <w:unhideWhenUsed/>
    <w:qFormat/>
    <w:rPr>
      <w:sz w:val="21"/>
      <w:szCs w:val="21"/>
    </w:rPr>
  </w:style>
  <w:style w:type="character" w:styleId="af4">
    <w:name w:val="Placeholder Text"/>
    <w:basedOn w:val="a0"/>
    <w:uiPriority w:val="99"/>
    <w:semiHidden/>
    <w:qFormat/>
    <w:rPr>
      <w:color w:val="808080"/>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paragraph" w:customStyle="1" w:styleId="1">
    <w:name w:val="修订1"/>
    <w:hidden/>
    <w:uiPriority w:val="99"/>
    <w:semiHidden/>
    <w:qFormat/>
    <w:rPr>
      <w:rFonts w:asciiTheme="minorHAnsi" w:eastAsiaTheme="minorEastAsia" w:hAnsiTheme="minorHAnsi" w:cstheme="minorBidi"/>
      <w:kern w:val="2"/>
      <w:sz w:val="21"/>
      <w:szCs w:val="22"/>
    </w:rPr>
  </w:style>
  <w:style w:type="paragraph" w:customStyle="1" w:styleId="Title1">
    <w:name w:val="Title1"/>
    <w:basedOn w:val="a"/>
    <w:next w:val="a"/>
    <w:qFormat/>
    <w:pPr>
      <w:widowControl/>
      <w:spacing w:before="120" w:line="480" w:lineRule="exact"/>
      <w:jc w:val="left"/>
    </w:pPr>
    <w:rPr>
      <w:rFonts w:ascii="Arial" w:eastAsia="MS Mincho" w:hAnsi="Arial" w:cs="Times New Roman"/>
      <w:b/>
      <w:kern w:val="0"/>
      <w:sz w:val="32"/>
      <w:szCs w:val="28"/>
      <w:lang w:val="de-DE" w:eastAsia="ja-JP"/>
    </w:r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pPr>
      <w:jc w:val="left"/>
    </w:pPr>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5">
    <w:name w:val="批注文字 字符"/>
    <w:basedOn w:val="a0"/>
    <w:link w:val="a4"/>
    <w:uiPriority w:val="99"/>
    <w:qFormat/>
  </w:style>
  <w:style w:type="character" w:customStyle="1" w:styleId="ae">
    <w:name w:val="批注主题 字符"/>
    <w:basedOn w:val="a5"/>
    <w:link w:val="ad"/>
    <w:uiPriority w:val="99"/>
    <w:semiHidden/>
    <w:qFormat/>
    <w:rPr>
      <w:b/>
      <w:bCs/>
    </w:rPr>
  </w:style>
  <w:style w:type="paragraph" w:customStyle="1" w:styleId="msolistparagraph0">
    <w:name w:val="msolistparagraph"/>
    <w:basedOn w:val="a"/>
    <w:qFormat/>
    <w:pPr>
      <w:ind w:firstLineChars="200" w:firstLine="420"/>
    </w:pPr>
    <w:rPr>
      <w:rFonts w:ascii="Times New Roman" w:eastAsia="宋体" w:hAnsi="Times New Roman" w:cs="Times New Roman"/>
      <w:sz w:val="24"/>
    </w:rPr>
  </w:style>
  <w:style w:type="paragraph" w:customStyle="1" w:styleId="2">
    <w:name w:val="列表段落2"/>
    <w:basedOn w:val="a"/>
    <w:qFormat/>
    <w:pPr>
      <w:ind w:firstLineChars="200" w:firstLine="420"/>
    </w:pPr>
    <w:rPr>
      <w:rFonts w:ascii="Times New Roman" w:eastAsia="宋体" w:hAnsi="Times New Roman" w:cs="Times New Roman"/>
      <w:sz w:val="24"/>
    </w:rPr>
  </w:style>
  <w:style w:type="paragraph" w:customStyle="1" w:styleId="10">
    <w:name w:val="书目1"/>
    <w:basedOn w:val="a"/>
    <w:qFormat/>
    <w:pPr>
      <w:widowControl/>
      <w:ind w:left="720" w:hanging="720"/>
      <w:jc w:val="center"/>
    </w:pPr>
    <w:rPr>
      <w:rFonts w:cs="Times New Roman"/>
      <w:b/>
      <w:sz w:val="24"/>
      <w:szCs w:val="24"/>
    </w:rPr>
  </w:style>
  <w:style w:type="character" w:customStyle="1" w:styleId="a7">
    <w:name w:val="批注框文本 字符"/>
    <w:basedOn w:val="a0"/>
    <w:link w:val="a6"/>
    <w:uiPriority w:val="99"/>
    <w:semiHidden/>
    <w:rPr>
      <w:rFonts w:ascii="Segoe UI" w:hAnsi="Segoe UI" w:cs="Segoe UI"/>
      <w:kern w:val="2"/>
      <w:sz w:val="18"/>
      <w:szCs w:val="18"/>
    </w:rPr>
  </w:style>
  <w:style w:type="paragraph" w:customStyle="1" w:styleId="20">
    <w:name w:val="修订2"/>
    <w:hidden/>
    <w:uiPriority w:val="99"/>
    <w:semiHidden/>
    <w:rPr>
      <w:rFonts w:asciiTheme="minorHAnsi" w:eastAsiaTheme="minorEastAsia" w:hAnsiTheme="minorHAnsi" w:cstheme="minorBidi"/>
      <w:kern w:val="2"/>
      <w:sz w:val="21"/>
      <w:szCs w:val="22"/>
    </w:rPr>
  </w:style>
  <w:style w:type="paragraph" w:customStyle="1" w:styleId="21">
    <w:name w:val="书目2"/>
    <w:basedOn w:val="a"/>
    <w:link w:val="Bibliography"/>
    <w:pPr>
      <w:tabs>
        <w:tab w:val="left" w:pos="500"/>
      </w:tabs>
      <w:ind w:left="504" w:hanging="504"/>
      <w:jc w:val="center"/>
    </w:pPr>
    <w:rPr>
      <w:rFonts w:ascii="Times New Roman" w:hAnsi="Times New Roman" w:cs="Times New Roman"/>
      <w:i/>
      <w:color w:val="000000" w:themeColor="text1"/>
      <w:sz w:val="24"/>
      <w:szCs w:val="24"/>
    </w:rPr>
  </w:style>
  <w:style w:type="character" w:customStyle="1" w:styleId="Bibliography">
    <w:name w:val="Bibliography 字符"/>
    <w:basedOn w:val="a0"/>
    <w:link w:val="21"/>
    <w:rPr>
      <w:rFonts w:ascii="Times New Roman" w:hAnsi="Times New Roman" w:cs="Times New Roman"/>
      <w:i/>
      <w:color w:val="000000" w:themeColor="text1"/>
      <w:kern w:val="2"/>
      <w:sz w:val="24"/>
      <w:szCs w:val="24"/>
    </w:rPr>
  </w:style>
  <w:style w:type="paragraph" w:customStyle="1" w:styleId="3">
    <w:name w:val="书目3"/>
    <w:basedOn w:val="a"/>
    <w:next w:val="a"/>
    <w:uiPriority w:val="37"/>
    <w:unhideWhenUsed/>
  </w:style>
  <w:style w:type="paragraph" w:customStyle="1" w:styleId="Bibliography1">
    <w:name w:val="Bibliography1"/>
    <w:basedOn w:val="a"/>
    <w:next w:val="a"/>
    <w:uiPriority w:val="37"/>
    <w:unhideWhenUsed/>
    <w:pPr>
      <w:tabs>
        <w:tab w:val="left" w:pos="504"/>
      </w:tabs>
      <w:ind w:left="504" w:hanging="504"/>
    </w:pPr>
  </w:style>
  <w:style w:type="paragraph" w:styleId="af5">
    <w:name w:val="List Paragraph"/>
    <w:basedOn w:val="a"/>
    <w:uiPriority w:val="99"/>
    <w:unhideWhenUs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13983</Words>
  <Characters>79707</Characters>
  <Application>Microsoft Office Word</Application>
  <DocSecurity>0</DocSecurity>
  <Lines>664</Lines>
  <Paragraphs>187</Paragraphs>
  <ScaleCrop>false</ScaleCrop>
  <Company/>
  <LinksUpToDate>false</LinksUpToDate>
  <CharactersWithSpaces>93503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123</dc:creator>
  <cp:lastModifiedBy>墨 许</cp:lastModifiedBy>
  <cp:revision>2</cp:revision>
  <dcterms:created xsi:type="dcterms:W3CDTF">2024-07-27T06:48:00Z</dcterms:created>
  <dcterms:modified xsi:type="dcterms:W3CDTF">2024-07-27T06:48:00Z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EE114C8683F4DE5DEA859B66F837DE9E_43</vt:lpwstr>
  </property>
  <property fmtid="{D5CDD505-2E9C-101B-9397-08002B2CF9AE}" pid="4" name="ZOTERO_PREF_1">
    <vt:lpwstr>&lt;data data-version="3" zotero-version="6.0.30"&gt;&lt;session id="GkRVaQ08"/&gt;&lt;style id="http://www.zotero.org/styles/environmental-science-and-technology" hasBibliography="1" bibliographyStyleHasBeenSet="1"/&gt;&lt;prefs&gt;&lt;pref name="fieldType" value="Field"/&gt;&lt;pref na</vt:lpwstr>
  </property>
  <property fmtid="{D5CDD505-2E9C-101B-9397-08002B2CF9AE}" pid="5" name="ZOTERO_PREF_2">
    <vt:lpwstr>me="automaticJournalAbbreviations" value="true"/&gt;&lt;/prefs&gt;&lt;/data&gt;</vt:lpwstr>
  </property>
</Properties>
</file>