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20"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067050327"/>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iCs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bCs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1"/>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1"/>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1"/>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1"/>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1"/>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bCs w:val="1"/>
              </w:rPr>
            </w:pPr>
            <w:r w:rsidDel="00000000" w:rsidR="00000000" w:rsidRPr="00000000">
              <w:rPr>
                <w:b w:val="1"/>
                <w:bCs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bCs w:val="1"/>
              </w:rPr>
            </w:pPr>
            <w:r w:rsidDel="00000000" w:rsidR="00000000" w:rsidRPr="00000000">
              <w:rPr>
                <w:b w:val="1"/>
                <w:bCs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bCs w:val="1"/>
              </w:rPr>
            </w:pPr>
            <w:r w:rsidDel="00000000" w:rsidR="00000000" w:rsidRPr="00000000">
              <w:rPr>
                <w:b w:val="1"/>
                <w:bCs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bCs w:val="1"/>
              </w:rPr>
            </w:pPr>
            <w:r w:rsidDel="00000000" w:rsidR="00000000" w:rsidRPr="00000000">
              <w:rPr>
                <w:b w:val="1"/>
                <w:bCs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bCs w:val="1"/>
              </w:rPr>
            </w:pPr>
            <w:r w:rsidDel="00000000" w:rsidR="00000000" w:rsidRPr="00000000">
              <w:rPr>
                <w:b w:val="1"/>
                <w:bCs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3"/>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Registrar tiempo por cronómetro. Permite registrar el tiempo de trabajo en tiempo real desde el sistema Kairos.</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tabs>
          <w:tab w:val="left" w:leader="none" w:pos="0"/>
        </w:tabs>
        <w:spacing w:after="240" w:before="240" w:lineRule="auto"/>
        <w:ind w:left="0"/>
        <w:jc w:val="center"/>
        <w:rPr/>
      </w:pPr>
      <w:r w:rsidDel="00000000" w:rsidR="00000000" w:rsidRPr="00000000">
        <w:rPr>
          <w:b w:val="1"/>
          <w:bCs w:val="1"/>
          <w:i w:val="1"/>
          <w:iCs w:val="1"/>
          <w:rtl w:val="0"/>
        </w:rPr>
        <w:t xml:space="preserve">Figura 1 - Diagrama de Casos de Uso</w:t>
      </w:r>
      <w:r w:rsidDel="00000000" w:rsidR="00000000" w:rsidRPr="00000000">
        <w:rPr>
          <w:rtl w:val="0"/>
        </w:rPr>
      </w:r>
    </w:p>
    <w:p w:rsidR="00000000" w:rsidDel="00000000" w:rsidP="00000000" w:rsidRDefault="00000000" w:rsidRPr="00000000" w14:paraId="00000086">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7">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El sistema se integra con Google OAuth 2.0 para la autenticación.</w:t>
      </w:r>
    </w:p>
    <w:p w:rsidR="00000000" w:rsidDel="00000000" w:rsidP="00000000" w:rsidRDefault="00000000" w:rsidRPr="00000000" w14:paraId="00000088">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w:t>
      </w:r>
      <w:r w:rsidDel="00000000" w:rsidR="00000000" w:rsidRPr="00000000">
        <w:rPr>
          <w:rtl w:val="0"/>
        </w:rPr>
      </w:r>
    </w:p>
    <w:p w:rsidR="00000000" w:rsidDel="00000000" w:rsidP="00000000" w:rsidRDefault="00000000" w:rsidRPr="00000000" w14:paraId="00000089">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C">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8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bCs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bCs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2">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3">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8">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9">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D">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E">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1">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2">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7">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8">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9">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una experiencia fluida. </w:t>
      </w:r>
      <w:r w:rsidDel="00000000" w:rsidR="00000000" w:rsidRPr="00000000">
        <w:rPr>
          <w:rtl w:val="0"/>
        </w:rPr>
        <w:t xml:space="preserve">La interacción entre estos procesos se ilustra en la Figura 2.</w:t>
      </w:r>
    </w:p>
    <w:p w:rsidR="00000000" w:rsidDel="00000000" w:rsidP="00000000" w:rsidRDefault="00000000" w:rsidRPr="00000000" w14:paraId="000000AA">
      <w:pPr>
        <w:tabs>
          <w:tab w:val="left" w:leader="none" w:pos="0"/>
        </w:tabs>
        <w:spacing w:after="240" w:before="240" w:lineRule="auto"/>
        <w:ind w:left="0"/>
        <w:jc w:val="center"/>
        <w:rPr/>
      </w:pPr>
      <w:r w:rsidDel="00000000" w:rsidR="00000000" w:rsidRPr="00000000">
        <w:rPr/>
        <w:drawing>
          <wp:inline distB="114300" distT="114300" distL="114300" distR="114300">
            <wp:extent cx="2514600" cy="3019916"/>
            <wp:effectExtent b="0" l="0" r="0" t="0"/>
            <wp:docPr id="14" name="image5.jpg"/>
            <a:graphic>
              <a:graphicData uri="http://schemas.openxmlformats.org/drawingml/2006/picture">
                <pic:pic>
                  <pic:nvPicPr>
                    <pic:cNvPr id="0" name="image5.jpg"/>
                    <pic:cNvPicPr preferRelativeResize="0"/>
                  </pic:nvPicPr>
                  <pic:blipFill>
                    <a:blip r:embed="rId10"/>
                    <a:srcRect b="56970" l="24068" r="29347" t="3486"/>
                    <a:stretch>
                      <a:fillRect/>
                    </a:stretch>
                  </pic:blipFill>
                  <pic:spPr>
                    <a:xfrm>
                      <a:off x="0" y="0"/>
                      <a:ext cx="2514600" cy="3019916"/>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tabs>
          <w:tab w:val="left" w:leader="none" w:pos="0"/>
        </w:tabs>
        <w:spacing w:after="240" w:before="240" w:lineRule="auto"/>
        <w:ind w:left="0"/>
        <w:jc w:val="center"/>
        <w:rPr>
          <w:b w:val="1"/>
          <w:bCs w:val="1"/>
          <w:i w:val="1"/>
          <w:iCs w:val="1"/>
        </w:rPr>
      </w:pPr>
      <w:r w:rsidDel="00000000" w:rsidR="00000000" w:rsidRPr="00000000">
        <w:rPr>
          <w:b w:val="1"/>
          <w:bCs w:val="1"/>
          <w:i w:val="1"/>
          <w:iCs w:val="1"/>
          <w:rtl w:val="0"/>
        </w:rPr>
        <w:t xml:space="preserve">Figura 2 - Diagrama de Procesos</w:t>
      </w:r>
    </w:p>
    <w:p w:rsidR="00000000" w:rsidDel="00000000" w:rsidP="00000000" w:rsidRDefault="00000000" w:rsidRPr="00000000" w14:paraId="000000AC">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D">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F">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B0">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bCs w:val="1"/>
          <w:rtl w:val="0"/>
        </w:rPr>
        <w:br w:type="textWrapping"/>
      </w:r>
      <w:r w:rsidDel="00000000" w:rsidR="00000000" w:rsidRPr="00000000">
        <w:rPr>
          <w:rtl w:val="0"/>
        </w:rPr>
        <w:t xml:space="preserve">Se comunica con la base de datos MySQL mediante el uso de repositorios JPA y con los servicios externos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gestiona la comunicación con servicios externos utilizados por Kairos, principalmente </w:t>
      </w:r>
      <w:r w:rsidDel="00000000" w:rsidR="00000000" w:rsidRPr="00000000">
        <w:rPr>
          <w:b w:val="1"/>
          <w:bCs w:val="1"/>
          <w:rtl w:val="0"/>
        </w:rPr>
        <w:t xml:space="preserve">Google OAuth 2.0</w:t>
      </w:r>
      <w:r w:rsidDel="00000000" w:rsidR="00000000" w:rsidRPr="00000000">
        <w:rPr>
          <w:rtl w:val="0"/>
        </w:rPr>
        <w:t xml:space="preserve">, que se utiliza para la autenticación de usuarios.</w:t>
      </w:r>
    </w:p>
    <w:p w:rsidR="00000000" w:rsidDel="00000000" w:rsidP="00000000" w:rsidRDefault="00000000" w:rsidRPr="00000000" w14:paraId="000000BD">
      <w:pPr>
        <w:numPr>
          <w:ilvl w:val="0"/>
          <w:numId w:val="20"/>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0"/>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0"/>
          <w:numId w:val="20"/>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0">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1">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2">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3">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4">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5">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6">
      <w:pPr>
        <w:tabs>
          <w:tab w:val="left" w:leader="none" w:pos="0"/>
        </w:tabs>
        <w:spacing w:after="240" w:before="240" w:lineRule="auto"/>
        <w:ind w:left="0"/>
        <w:jc w:val="both"/>
        <w:rPr/>
      </w:pPr>
      <w:r w:rsidDel="00000000" w:rsidR="00000000" w:rsidRPr="00000000">
        <w:rPr>
          <w:rtl w:val="0"/>
        </w:rPr>
        <w:t xml:space="preserve">El sistema Kairos se despliega en un entorno cliente-servidor dentro de la red local (LAN) de la UNPA UARG. La arquitectura contempla los siguientes nodos principales:</w:t>
      </w:r>
    </w:p>
    <w:p w:rsidR="00000000" w:rsidDel="00000000" w:rsidP="00000000" w:rsidRDefault="00000000" w:rsidRPr="00000000" w14:paraId="000000C7">
      <w:pPr>
        <w:tabs>
          <w:tab w:val="left" w:leader="none" w:pos="0"/>
        </w:tabs>
        <w:spacing w:after="240" w:before="240" w:lineRule="auto"/>
        <w:ind w:left="0"/>
        <w:jc w:val="both"/>
        <w:rPr/>
      </w:pPr>
      <w:r w:rsidDel="00000000" w:rsidR="00000000" w:rsidRPr="00000000">
        <w:rPr>
          <w:b w:val="1"/>
          <w:bCs w:val="1"/>
          <w:rtl w:val="0"/>
        </w:rPr>
        <w:t xml:space="preserve">Nodo Cliente: </w:t>
      </w:r>
      <w:r w:rsidDel="00000000" w:rsidR="00000000" w:rsidRPr="00000000">
        <w:rPr>
          <w:rtl w:val="0"/>
        </w:rPr>
        <w:t xml:space="preserve">Corresponde a los navegadores web utilizados por los usuarios (estudiantes y docentes). Desde estos dispositivos se accede a la aplicación web desarrollada en Angular.</w:t>
      </w:r>
    </w:p>
    <w:p w:rsidR="00000000" w:rsidDel="00000000" w:rsidP="00000000" w:rsidRDefault="00000000" w:rsidRPr="00000000" w14:paraId="000000C8">
      <w:pPr>
        <w:tabs>
          <w:tab w:val="left" w:leader="none" w:pos="0"/>
        </w:tabs>
        <w:spacing w:after="240" w:before="240" w:lineRule="auto"/>
        <w:ind w:left="0"/>
        <w:jc w:val="both"/>
        <w:rPr/>
      </w:pPr>
      <w:r w:rsidDel="00000000" w:rsidR="00000000" w:rsidRPr="00000000">
        <w:rPr>
          <w:b w:val="1"/>
          <w:bCs w:val="1"/>
          <w:rtl w:val="0"/>
        </w:rPr>
        <w:t xml:space="preserve">Nodo Servidor de Aplicación: </w:t>
      </w:r>
      <w:r w:rsidDel="00000000" w:rsidR="00000000" w:rsidRPr="00000000">
        <w:rPr>
          <w:rtl w:val="0"/>
        </w:rPr>
        <w:t xml:space="preserve">Servidor donde se ejecuta la aplicación backend desarrollada en Spring Boot. Este componente procesa las solicitudes del cliente, gestiona la lógica de negocio y coordina el acceso a los datos.</w:t>
      </w:r>
    </w:p>
    <w:p w:rsidR="00000000" w:rsidDel="00000000" w:rsidP="00000000" w:rsidRDefault="00000000" w:rsidRPr="00000000" w14:paraId="000000C9">
      <w:pPr>
        <w:tabs>
          <w:tab w:val="left" w:leader="none" w:pos="0"/>
        </w:tabs>
        <w:spacing w:after="240" w:before="240" w:lineRule="auto"/>
        <w:ind w:left="0"/>
        <w:jc w:val="both"/>
        <w:rPr/>
      </w:pPr>
      <w:r w:rsidDel="00000000" w:rsidR="00000000" w:rsidRPr="00000000">
        <w:rPr>
          <w:b w:val="1"/>
          <w:bCs w:val="1"/>
          <w:rtl w:val="0"/>
        </w:rPr>
        <w:t xml:space="preserve">Nodo Servidor de Base de Datos: </w:t>
      </w:r>
      <w:r w:rsidDel="00000000" w:rsidR="00000000" w:rsidRPr="00000000">
        <w:rPr>
          <w:rtl w:val="0"/>
        </w:rPr>
        <w:t xml:space="preserve">Servidor que ejecuta MySQL y almacena la información del sistema, incluyendo usuarios, proyectos, tareas, tiempos y configuraciones.</w:t>
      </w:r>
    </w:p>
    <w:p w:rsidR="00000000" w:rsidDel="00000000" w:rsidP="00000000" w:rsidRDefault="00000000" w:rsidRPr="00000000" w14:paraId="000000CA">
      <w:pPr>
        <w:tabs>
          <w:tab w:val="left" w:leader="none" w:pos="0"/>
        </w:tabs>
        <w:spacing w:after="240" w:before="240" w:lineRule="auto"/>
        <w:ind w:left="0"/>
        <w:jc w:val="both"/>
        <w:rPr/>
      </w:pPr>
      <w:r w:rsidDel="00000000" w:rsidR="00000000" w:rsidRPr="00000000">
        <w:rPr>
          <w:rtl w:val="0"/>
        </w:rPr>
        <w:t xml:space="preserve">Estos nodos se encuentran conectados a través de la red LAN de la UNPA UARG, permitiendo el acceso desde equipos de laboratorio o dispositivos personales dentro de la red institucional.</w:t>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19"/>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bCs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bCs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bCs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bCs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bCs w:val="1"/>
          <w:rtl w:val="0"/>
        </w:rPr>
        <w:t xml:space="preserve">Clientes externos: </w:t>
      </w:r>
      <w:r w:rsidDel="00000000" w:rsidR="00000000" w:rsidRPr="00000000">
        <w:rPr>
          <w:rtl w:val="0"/>
        </w:rPr>
        <w:t xml:space="preserve">componentes para consumir APIs de Google.</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6" name="image8.png"/>
            <a:graphic>
              <a:graphicData uri="http://schemas.openxmlformats.org/drawingml/2006/picture">
                <pic:pic>
                  <pic:nvPicPr>
                    <pic:cNvPr id="0" name="image8.png"/>
                    <pic:cNvPicPr preferRelativeResize="0"/>
                  </pic:nvPicPr>
                  <pic:blipFill>
                    <a:blip r:embed="rId11"/>
                    <a:srcRect b="0" l="9" r="9"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tabs>
          <w:tab w:val="left" w:leader="none" w:pos="0"/>
        </w:tabs>
        <w:spacing w:after="240" w:before="240" w:lineRule="auto"/>
        <w:ind w:left="0"/>
        <w:jc w:val="center"/>
        <w:rPr>
          <w:b w:val="1"/>
          <w:bCs w:val="1"/>
          <w:i w:val="1"/>
          <w:iCs w:val="1"/>
        </w:rPr>
      </w:pPr>
      <w:r w:rsidDel="00000000" w:rsidR="00000000" w:rsidRPr="00000000">
        <w:rPr>
          <w:b w:val="1"/>
          <w:bCs w:val="1"/>
          <w:i w:val="1"/>
          <w:iCs w:val="1"/>
          <w:rtl w:val="0"/>
        </w:rPr>
        <w:t xml:space="preserve">Figura 3 - Diagrama de Objetos</w:t>
      </w:r>
    </w:p>
    <w:p w:rsidR="00000000" w:rsidDel="00000000" w:rsidP="00000000" w:rsidRDefault="00000000" w:rsidRPr="00000000" w14:paraId="000000DD">
      <w:pPr>
        <w:tabs>
          <w:tab w:val="left" w:leader="none" w:pos="0"/>
        </w:tabs>
        <w:jc w:val="center"/>
        <w:rPr/>
      </w:pPr>
      <w:r w:rsidDel="00000000" w:rsidR="00000000" w:rsidRPr="00000000">
        <w:rPr>
          <w:rtl w:val="0"/>
        </w:rPr>
      </w:r>
    </w:p>
    <w:p w:rsidR="00000000" w:rsidDel="00000000" w:rsidP="00000000" w:rsidRDefault="00000000" w:rsidRPr="00000000" w14:paraId="000000DE">
      <w:pPr>
        <w:pStyle w:val="Heading2"/>
        <w:keepNext w:val="1"/>
        <w:keepLines w:val="1"/>
        <w:rPr>
          <w:i w:val="1"/>
          <w:iCs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i w:val="1"/>
          <w:iCs w:val="1"/>
          <w:color w:val="548dd4"/>
        </w:rPr>
        <w:drawing>
          <wp:inline distB="114300" distT="114300" distL="114300" distR="114300">
            <wp:extent cx="5399730" cy="3162300"/>
            <wp:effectExtent b="0" l="0" r="0" t="0"/>
            <wp:docPr id="19"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tabs>
          <w:tab w:val="left" w:leader="none" w:pos="0"/>
        </w:tabs>
        <w:spacing w:after="240" w:before="240" w:lineRule="auto"/>
        <w:ind w:left="0"/>
        <w:jc w:val="center"/>
        <w:rPr>
          <w:b w:val="1"/>
          <w:bCs w:val="1"/>
          <w:i w:val="1"/>
          <w:iCs w:val="1"/>
        </w:rPr>
      </w:pPr>
      <w:r w:rsidDel="00000000" w:rsidR="00000000" w:rsidRPr="00000000">
        <w:rPr>
          <w:b w:val="1"/>
          <w:bCs w:val="1"/>
          <w:i w:val="1"/>
          <w:iCs w:val="1"/>
          <w:rtl w:val="0"/>
        </w:rPr>
        <w:t xml:space="preserve">Figura 4 - Diagrama de Paquetes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E3">
      <w:pPr>
        <w:pStyle w:val="Heading4"/>
        <w:ind w:left="0" w:firstLine="0"/>
        <w:rPr/>
      </w:pPr>
      <w:bookmarkStart w:colFirst="0" w:colLast="0" w:name="_xfbvtxvcorkg" w:id="29"/>
      <w:bookmarkEnd w:id="29"/>
      <w:r w:rsidDel="00000000" w:rsidR="00000000" w:rsidRPr="00000000">
        <w:rPr>
          <w:rtl w:val="0"/>
        </w:rPr>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7">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3.jpg"/>
          <a:graphic>
            <a:graphicData uri="http://schemas.openxmlformats.org/drawingml/2006/picture">
              <pic:pic>
                <pic:nvPicPr>
                  <pic:cNvPr descr="UNPA.JPG" id="0" name="image3.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6.png"/>
              <a:graphic>
                <a:graphicData uri="http://schemas.openxmlformats.org/drawingml/2006/picture">
                  <pic:pic>
                    <pic:nvPicPr>
                      <pic:cNvPr id="0" name="image1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5.jpg"/><Relationship Id="rId13" Type="http://schemas.openxmlformats.org/officeDocument/2006/relationships/header" Target="header1.xm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jpg"/><Relationship Id="rId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