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5562967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5"/>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5"/>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3"/>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3"/>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E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raw.io" TargetMode="Externa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