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Estimación.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9" name="Shape 9"/>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35461736"/>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ebwsnzjnyn5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s3ixsdxqv5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fy5rdobml8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d5175pffgh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9j281f9h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brlohwuous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v8wkxo94y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62221bexnn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b71ymy8dw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dz6eyutnw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enq7kuczyy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wmmdyninp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krij1bhv3e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mpgz8dwl89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it8mwqsxe6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fllik6asy7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2t3uf5vq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saryqjlnnls2" w:id="0"/>
      <w:bookmarkEnd w:id="0"/>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ebwsnzjnyn5i"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3ixsdxqv58"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personas se necesitarán para desarrollarlo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documento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fy5rdobml8w"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d5175pffgha"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9j281f9hu"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brlohwuousi"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F">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50">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51">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52">
      <w:pPr>
        <w:spacing w:before="0" w:lineRule="auto"/>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4">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6">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fv8wkxo94yz"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62221bexnnf"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b71ymy8dwuf"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F">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1">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E">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8">
      <w:pPr>
        <w:ind w:left="2268" w:firstLine="0"/>
        <w:jc w:val="both"/>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dz6eyutnw5"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xca1smxj7xgk"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82">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rjjhja0jp0o"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cuantas clases de análisis se han utilizado para realizar un caso de uso en particular</w:t>
      </w:r>
    </w:p>
    <w:p w:rsidR="00000000" w:rsidDel="00000000" w:rsidP="00000000" w:rsidRDefault="00000000" w:rsidRPr="00000000" w14:paraId="00000092">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cuantos casos de uso de cada tipo se tienen.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esos productos para obtener el total.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enq7kuczyym"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wmmdyninpxs"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color w:val="4f81bd"/>
        </w:rPr>
      </w:pPr>
      <w:bookmarkStart w:colFirst="0" w:colLast="0" w:name="_31o8jz74tagm"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krij1bhv3eh"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vix74402zrc"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F">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3p1t5ydoen5n"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mpgz8dwl895"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avl1ecfmk785"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8">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1by7ndn4qj0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20">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it8mwqsxe6a"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Cambria" w:cs="Cambria" w:eastAsia="Cambria" w:hAnsi="Cambria"/>
          <w:b w:val="1"/>
          <w:color w:val="4f81bd"/>
          <w:sz w:val="26"/>
          <w:szCs w:val="26"/>
        </w:rPr>
      </w:pPr>
      <w:bookmarkStart w:colFirst="0" w:colLast="0" w:name="_it29hlu6okhz" w:id="23"/>
      <w:bookmarkEnd w:id="23"/>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fllik6asy70"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9">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2t3uf5vqz2"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en nivel de experiencia del staff y la estabilidad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cuantos de E7 a E8 están por encima de 3.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  </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tabs>
        <w:tab w:val="center" w:leader="none" w:pos="4252"/>
      </w:tabs>
      <w:rPr/>
    </w:pPr>
    <w:r w:rsidDel="00000000" w:rsidR="00000000" w:rsidRPr="00000000">
      <w:rPr>
        <w:rtl w:val="0"/>
      </w:rPr>
      <w:t xml:space="preserve">Nombre del Grupo de Desarrollo o Asignatura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13C">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