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71642356"/>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