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103506378"/>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