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13775797"/>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1.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