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12897407"/>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