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97850197"/>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3"/>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0"/>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0"/>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0"/>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8"/>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8"/>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4"/>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4"/>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4"/>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8"/>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8"/>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5"/>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5"/>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2"/>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Complejidad de diseño (acoplamiento)</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mantenibilidad y calidad estructural.</w:t>
      </w:r>
    </w:p>
    <w:p w:rsidR="00000000" w:rsidDel="00000000" w:rsidP="00000000" w:rsidRDefault="00000000" w:rsidRPr="00000000" w14:paraId="000000F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tiene en cuenta el número de dependencias entre módulos o clases.</w:t>
      </w:r>
    </w:p>
    <w:p w:rsidR="00000000" w:rsidDel="00000000" w:rsidP="00000000" w:rsidRDefault="00000000" w:rsidRPr="00000000" w14:paraId="000000F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Evitar que una clase dependa de más de </w:t>
      </w:r>
      <w:r w:rsidDel="00000000" w:rsidR="00000000" w:rsidRPr="00000000">
        <w:rPr>
          <w:b w:val="1"/>
          <w:rtl w:val="0"/>
        </w:rPr>
        <w:t xml:space="preserve">5–7 módulos/clases</w:t>
      </w:r>
      <w:r w:rsidDel="00000000" w:rsidR="00000000" w:rsidRPr="00000000">
        <w:rPr>
          <w:rtl w:val="0"/>
        </w:rPr>
        <w:t xml:space="preserve"> (principio de bajo acoplamiento), lograr un promedio de dependencias por clase ≤ </w:t>
      </w:r>
      <w:r w:rsidDel="00000000" w:rsidR="00000000" w:rsidRPr="00000000">
        <w:rPr>
          <w:b w:val="1"/>
          <w:rtl w:val="0"/>
        </w:rPr>
        <w:t xml:space="preserve">3–4</w:t>
      </w:r>
      <w:r w:rsidDel="00000000" w:rsidR="00000000" w:rsidRPr="00000000">
        <w:rPr>
          <w:rtl w:val="0"/>
        </w:rPr>
        <w:t xml:space="preserve"> en sistemas medianos, y detectar clases con dependencias excesivas que puedan convertirse en cuello de botella.</w:t>
        <w:br w:type="textWrapping"/>
      </w:r>
    </w:p>
    <w:p w:rsidR="00000000" w:rsidDel="00000000" w:rsidP="00000000" w:rsidRDefault="00000000" w:rsidRPr="00000000" w14:paraId="000000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0FF">
      <w:pPr>
        <w:numPr>
          <w:ilvl w:val="0"/>
          <w:numId w:val="33"/>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0">
      <w:pPr>
        <w:numPr>
          <w:ilvl w:val="0"/>
          <w:numId w:val="22"/>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1">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4">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8">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1A">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1B">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D">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E">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F">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1">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2">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3">
      <w:pPr>
        <w:keepNext w:val="1"/>
        <w:keepLines w:val="1"/>
        <w:numPr>
          <w:ilvl w:val="0"/>
          <w:numId w:val="6"/>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4">
      <w:pPr>
        <w:keepNext w:val="1"/>
        <w:keepLines w:val="1"/>
        <w:numPr>
          <w:ilvl w:val="0"/>
          <w:numId w:val="11"/>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5">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6">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7">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8">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9">
      <w:pPr>
        <w:keepNext w:val="1"/>
        <w:keepLines w:val="1"/>
        <w:numPr>
          <w:ilvl w:val="0"/>
          <w:numId w:val="13"/>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2A">
      <w:pPr>
        <w:keepNext w:val="1"/>
        <w:keepLines w:val="1"/>
        <w:numPr>
          <w:ilvl w:val="0"/>
          <w:numId w:val="13"/>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B">
      <w:pPr>
        <w:keepNext w:val="1"/>
        <w:keepLines w:val="1"/>
        <w:numPr>
          <w:ilvl w:val="0"/>
          <w:numId w:val="13"/>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D">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E">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F">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0">
      <w:pPr>
        <w:keepNext w:val="1"/>
        <w:keepLines w:val="1"/>
        <w:numPr>
          <w:ilvl w:val="0"/>
          <w:numId w:val="20"/>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1">
      <w:pPr>
        <w:keepNext w:val="1"/>
        <w:keepLines w:val="1"/>
        <w:numPr>
          <w:ilvl w:val="0"/>
          <w:numId w:val="9"/>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4">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5">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6">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7">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8">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9">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3A">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B">
      <w:pPr>
        <w:keepNext w:val="1"/>
        <w:keepLines w:val="1"/>
        <w:numPr>
          <w:ilvl w:val="0"/>
          <w:numId w:val="19"/>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C">
      <w:pPr>
        <w:keepNext w:val="1"/>
        <w:keepLines w:val="1"/>
        <w:numPr>
          <w:ilvl w:val="0"/>
          <w:numId w:val="19"/>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D">
      <w:pPr>
        <w:keepNext w:val="1"/>
        <w:keepLines w:val="1"/>
        <w:numPr>
          <w:ilvl w:val="0"/>
          <w:numId w:val="19"/>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E">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F">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0">
      <w:pPr>
        <w:keepNext w:val="1"/>
        <w:keepLines w:val="1"/>
        <w:numPr>
          <w:ilvl w:val="0"/>
          <w:numId w:val="32"/>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1">
      <w:pPr>
        <w:keepNext w:val="1"/>
        <w:keepLines w:val="1"/>
        <w:numPr>
          <w:ilvl w:val="0"/>
          <w:numId w:val="32"/>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2">
      <w:pPr>
        <w:keepNext w:val="1"/>
        <w:keepLines w:val="1"/>
        <w:numPr>
          <w:ilvl w:val="0"/>
          <w:numId w:val="32"/>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4">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5">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6">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7">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8">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9">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4A">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B">
      <w:pPr>
        <w:keepNext w:val="1"/>
        <w:keepLines w:val="1"/>
        <w:numPr>
          <w:ilvl w:val="0"/>
          <w:numId w:val="18"/>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C">
      <w:pPr>
        <w:keepNext w:val="1"/>
        <w:keepLines w:val="1"/>
        <w:numPr>
          <w:ilvl w:val="0"/>
          <w:numId w:val="18"/>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D">
      <w:pPr>
        <w:keepNext w:val="1"/>
        <w:keepLines w:val="1"/>
        <w:numPr>
          <w:ilvl w:val="0"/>
          <w:numId w:val="18"/>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E">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F">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1">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2">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3">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4">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5">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6">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8">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9">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5A">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5B">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5C">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5D">
      <w:pPr>
        <w:rPr/>
      </w:pPr>
      <w:r w:rsidDel="00000000" w:rsidR="00000000" w:rsidRPr="00000000">
        <w:rPr>
          <w:rtl w:val="0"/>
        </w:rPr>
        <w:t xml:space="preserve">Ver documento “Herramientas y Tecnologías - Kairos - NexTech”</w:t>
      </w:r>
    </w:p>
    <w:p w:rsidR="00000000" w:rsidDel="00000000" w:rsidP="00000000" w:rsidRDefault="00000000" w:rsidRPr="00000000" w14:paraId="0000015E">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5F">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0">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1">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