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3" name=""/>
                <a:graphic>
                  <a:graphicData uri="http://schemas.microsoft.com/office/word/2010/wordprocessingShape">
                    <wps:wsp>
                      <wps:cNvSpPr/>
                      <wps:cNvPr id="4" name="Shape 4"/>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3" name="image8.png"/>
                <a:graphic>
                  <a:graphicData uri="http://schemas.openxmlformats.org/drawingml/2006/picture">
                    <pic:pic>
                      <pic:nvPicPr>
                        <pic:cNvPr id="0" name="image8.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3" name=""/>
                <a:graphic>
                  <a:graphicData uri="http://schemas.microsoft.com/office/word/2010/wordprocessingShape">
                    <wps:wsp>
                      <wps:cNvSpPr/>
                      <wps:cNvPr id="17" name="Shape 1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3" name="image18.png"/>
                <a:graphic>
                  <a:graphicData uri="http://schemas.openxmlformats.org/drawingml/2006/picture">
                    <pic:pic>
                      <pic:nvPicPr>
                        <pic:cNvPr id="0" name="image18.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7" name=""/>
                <a:graphic>
                  <a:graphicData uri="http://schemas.microsoft.com/office/word/2010/wordprocessingShape">
                    <wps:wsp>
                      <wps:cNvSpPr/>
                      <wps:cNvPr id="10" name="Shape 10"/>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7" name="image12.png"/>
                <a:graphic>
                  <a:graphicData uri="http://schemas.openxmlformats.org/drawingml/2006/picture">
                    <pic:pic>
                      <pic:nvPicPr>
                        <pic:cNvPr id="0" name="image12.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12" name=""/>
                <a:graphic>
                  <a:graphicData uri="http://schemas.microsoft.com/office/word/2010/wordprocessingShape">
                    <wps:wsp>
                      <wps:cNvSpPr/>
                      <wps:cNvPr id="16" name="Shape 16"/>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12" name="image17.png"/>
                <a:graphic>
                  <a:graphicData uri="http://schemas.openxmlformats.org/drawingml/2006/picture">
                    <pic:pic>
                      <pic:nvPicPr>
                        <pic:cNvPr id="0" name="image17.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72"/>
          <w:szCs w:val="72"/>
          <w:u w:val="none"/>
          <w:shd w:fill="auto" w:val="clear"/>
          <w:vertAlign w:val="baseline"/>
          <w:rtl w:val="0"/>
        </w:rPr>
        <w:t xml:space="preserve">Plan de Estimación</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spacing w:before="0" w:line="240" w:lineRule="auto"/>
        <w:ind w:left="0"/>
        <w:rPr/>
      </w:pPr>
      <w:r w:rsidDel="00000000" w:rsidR="00000000" w:rsidRPr="00000000">
        <w:rPr>
          <w:rtl w:val="0"/>
        </w:rPr>
        <w:t xml:space="preserve">NexTech</w:t>
      </w:r>
    </w:p>
    <w:p w:rsidR="00000000" w:rsidDel="00000000" w:rsidP="00000000" w:rsidRDefault="00000000" w:rsidRPr="00000000" w14:paraId="0000000B">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i w:val="1"/>
          <w:iCs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6"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7" name="image4.jpg"/>
            <a:graphic>
              <a:graphicData uri="http://schemas.openxmlformats.org/drawingml/2006/picture">
                <pic:pic>
                  <pic:nvPicPr>
                    <pic:cNvPr descr="UNPA.JPG" id="0" name="image4.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1" name=""/>
                <a:graphic>
                  <a:graphicData uri="http://schemas.microsoft.com/office/word/2010/wordprocessingShape">
                    <wps:wsp>
                      <wps:cNvSpPr/>
                      <wps:cNvPr id="2" name="Shape 2"/>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0"/>
                                <w:smallCaps w:val="0"/>
                                <w:strike w:val="0"/>
                                <w:color w:val="000000"/>
                                <w:sz w:val="28"/>
                                <w:vertAlign w:val="baseline"/>
                              </w:rPr>
                              <w:t xml:space="preserve">Una parte importante de la toma de decisiones al comenzar un nuevo proyecto de desarrollo de software está dada por el costo que éste tendrá</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0"/>
                                <w:smallCaps w:val="0"/>
                                <w:strike w:val="0"/>
                                <w:color w:val="000000"/>
                                <w:sz w:val="28"/>
                                <w:vertAlign w:val="baseline"/>
                              </w:rPr>
                            </w:r>
                            <w:r w:rsidDel="00000000" w:rsidR="00000000" w:rsidRPr="00000000">
                              <w:rPr>
                                <w:rFonts w:ascii="Arial" w:cs="Arial" w:eastAsia="Arial" w:hAnsi="Arial"/>
                                <w:b w:val="0"/>
                                <w:i w:val="0"/>
                                <w:smallCaps w:val="0"/>
                                <w:strike w:val="0"/>
                                <w:color w:val="000000"/>
                                <w:sz w:val="28"/>
                                <w:vertAlign w:val="baseline"/>
                              </w:rPr>
                              <w:t xml:space="preserve">El método de puntos en casos de uso, que esbozaremos a continuación, es un método de estimación prometedor que se adapta bien al enfoque de caso de uso para la descripción de los requisitos. En sus bases yace el concepto de transacción de caso de uso, la unidad más pequeña de medición. Lamentablemente, hay muchas suposiciones disidentes sobre el concepto.</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1" name="image6.png"/>
                <a:graphic>
                  <a:graphicData uri="http://schemas.openxmlformats.org/drawingml/2006/picture">
                    <pic:pic>
                      <pic:nvPicPr>
                        <pic:cNvPr id="0" name="image6.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4006215</wp:posOffset>
            </wp:positionH>
            <wp:positionV relativeFrom="margin">
              <wp:posOffset>5902325</wp:posOffset>
            </wp:positionV>
            <wp:extent cx="1200150" cy="1200150"/>
            <wp:effectExtent b="0" l="0" r="0" t="0"/>
            <wp:wrapSquare wrapText="bothSides" distB="0" distT="0" distL="114300" distR="114300"/>
            <wp:docPr descr="psi-negro.png" id="15" name="image3.png"/>
            <a:graphic>
              <a:graphicData uri="http://schemas.openxmlformats.org/drawingml/2006/picture">
                <pic:pic>
                  <pic:nvPicPr>
                    <pic:cNvPr descr="psi-negro.png" id="0" name="image3.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3">
      <w:pPr>
        <w:ind w:left="0" w:firstLine="0"/>
        <w:rPr/>
      </w:pPr>
      <w:r w:rsidDel="00000000" w:rsidR="00000000" w:rsidRPr="00000000">
        <w:rPr>
          <w:rtl w:val="0"/>
        </w:rPr>
      </w:r>
    </w:p>
    <w:p w:rsidR="00000000" w:rsidDel="00000000" w:rsidP="00000000" w:rsidRDefault="00000000" w:rsidRPr="00000000" w14:paraId="00000014">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Tabla de contenido</w:t>
      </w:r>
    </w:p>
    <w:sdt>
      <w:sdtPr>
        <w:id w:val="1541277930"/>
        <w:docPartObj>
          <w:docPartGallery w:val="Table of Contents"/>
          <w:docPartUnique w:val="1"/>
        </w:docPartObj>
      </w:sdtPr>
      <w:sdtContent>
        <w:p w:rsidR="00000000" w:rsidDel="00000000" w:rsidP="00000000" w:rsidRDefault="00000000" w:rsidRPr="00000000" w14:paraId="00000015">
          <w:pPr>
            <w:widowControl w:val="0"/>
            <w:tabs>
              <w:tab w:val="right" w:leader="dot" w:pos="12000"/>
            </w:tabs>
            <w:spacing w:before="60" w:line="240" w:lineRule="auto"/>
            <w:ind w:left="0"/>
            <w:rPr>
              <w:b w:val="1"/>
              <w:bCs w:val="1"/>
              <w:color w:val="17365d"/>
              <w:u w:val="none"/>
            </w:rPr>
          </w:pPr>
          <w:r w:rsidDel="00000000" w:rsidR="00000000" w:rsidRPr="00000000">
            <w:fldChar w:fldCharType="begin"/>
            <w:instrText xml:space="preserve"> TOC \h \u \z \t "Heading 1,1,Heading 2,2,Heading 3,3,Heading 4,4,Heading 5,5,Heading 6,6,"</w:instrText>
            <w:fldChar w:fldCharType="separate"/>
          </w:r>
          <w:hyperlink w:anchor="_meg1zv33sqdo">
            <w:r w:rsidDel="00000000" w:rsidR="00000000" w:rsidRPr="00000000">
              <w:rPr>
                <w:b w:val="1"/>
                <w:bCs w:val="1"/>
                <w:color w:val="17365d"/>
                <w:u w:val="no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360" w:firstLine="0"/>
            <w:rPr>
              <w:i w:val="1"/>
              <w:iCs w:val="1"/>
              <w:color w:val="548dd4"/>
              <w:u w:val="none"/>
            </w:rPr>
          </w:pPr>
          <w:hyperlink w:anchor="_i7cle0xnggko">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Propósito</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360" w:firstLine="0"/>
            <w:rPr>
              <w:i w:val="1"/>
              <w:iCs w:val="1"/>
              <w:color w:val="548dd4"/>
              <w:u w:val="none"/>
            </w:rPr>
          </w:pPr>
          <w:hyperlink w:anchor="_1x3fypkwr9f2">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Alcance</w:t>
              <w:tab/>
              <w:t xml:space="preserve">5</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360" w:firstLine="0"/>
            <w:rPr>
              <w:i w:val="1"/>
              <w:iCs w:val="1"/>
              <w:color w:val="548dd4"/>
              <w:u w:val="none"/>
            </w:rPr>
          </w:pPr>
          <w:hyperlink w:anchor="_ye4fszmm2xpm">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Resumen</w:t>
              <w:tab/>
              <w:t xml:space="preserve">5</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360" w:firstLine="0"/>
            <w:rPr>
              <w:i w:val="1"/>
              <w:iCs w:val="1"/>
              <w:color w:val="548dd4"/>
              <w:u w:val="none"/>
            </w:rPr>
          </w:pPr>
          <w:hyperlink w:anchor="_jg6kdovnp1av">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Objetivos de la administración</w:t>
              <w:tab/>
              <w:t xml:space="preserve">5</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360" w:firstLine="0"/>
            <w:rPr>
              <w:i w:val="1"/>
              <w:iCs w:val="1"/>
              <w:color w:val="548dd4"/>
              <w:u w:val="none"/>
            </w:rPr>
          </w:pPr>
          <w:hyperlink w:anchor="_42oj5skecqfh">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Referencias</w:t>
              <w:tab/>
              <w:t xml:space="preserve">5</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0"/>
            <w:rPr>
              <w:b w:val="1"/>
              <w:bCs w:val="1"/>
              <w:color w:val="366091"/>
              <w:u w:val="none"/>
            </w:rPr>
          </w:pPr>
          <w:hyperlink w:anchor="_tdjjgxtpewuo">
            <w:r w:rsidDel="00000000" w:rsidR="00000000" w:rsidRPr="00000000">
              <w:rPr>
                <w:rFonts w:ascii="Calibri" w:cs="Calibri" w:eastAsia="Calibri" w:hAnsi="Calibri"/>
                <w:b w:val="1"/>
                <w:bCs w:val="1"/>
                <w:smallCaps w:val="0"/>
                <w:strike w:val="0"/>
                <w:color w:val="366091"/>
                <w:sz w:val="22"/>
                <w:szCs w:val="22"/>
                <w:u w:val="none"/>
                <w:shd w:fill="auto" w:val="clear"/>
                <w:vertAlign w:val="baseline"/>
                <w:rtl w:val="0"/>
              </w:rPr>
              <w:t xml:space="preserve">Métricas basadas en Casos de Uso</w:t>
              <w:tab/>
              <w:t xml:space="preserve">6</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360" w:firstLine="0"/>
            <w:rPr>
              <w:i w:val="1"/>
              <w:iCs w:val="1"/>
              <w:color w:val="548dd4"/>
              <w:u w:val="none"/>
            </w:rPr>
          </w:pPr>
          <w:hyperlink w:anchor="_hhk92ats9rfx">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Puntos de Casos de Uso Sin Ajustar</w:t>
              <w:tab/>
              <w:t xml:space="preserve">6</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720" w:firstLine="0"/>
            <w:rPr>
              <w:i w:val="1"/>
              <w:iCs w:val="1"/>
              <w:color w:val="548dd4"/>
              <w:u w:val="none"/>
            </w:rPr>
          </w:pPr>
          <w:hyperlink w:anchor="_8qqhujknueha">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Peso de los Actores (UAW)</w:t>
              <w:tab/>
              <w:t xml:space="preserve">6</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720" w:firstLine="0"/>
            <w:rPr>
              <w:i w:val="1"/>
              <w:iCs w:val="1"/>
              <w:color w:val="548dd4"/>
              <w:u w:val="none"/>
            </w:rPr>
          </w:pPr>
          <w:hyperlink w:anchor="_8rb1tby59wc">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Peso de los Casos de Uso (UUCW)</w:t>
              <w:tab/>
              <w:t xml:space="preserve">7</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1080" w:firstLine="0"/>
            <w:rPr>
              <w:i w:val="1"/>
              <w:iCs w:val="1"/>
              <w:color w:val="548dd4"/>
              <w:u w:val="none"/>
            </w:rPr>
          </w:pPr>
          <w:hyperlink w:anchor="_si59hafh2pqa">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Basado en transacciones</w:t>
              <w:tab/>
              <w:t xml:space="preserve">7</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1080" w:firstLine="0"/>
            <w:rPr>
              <w:i w:val="1"/>
              <w:iCs w:val="1"/>
              <w:color w:val="548dd4"/>
              <w:u w:val="none"/>
            </w:rPr>
          </w:pPr>
          <w:hyperlink w:anchor="_b9kegview753">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Basado en Clases de Análisis</w:t>
              <w:tab/>
              <w:t xml:space="preserve">7</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720" w:firstLine="0"/>
            <w:rPr>
              <w:i w:val="1"/>
              <w:iCs w:val="1"/>
              <w:color w:val="548dd4"/>
              <w:u w:val="none"/>
            </w:rPr>
          </w:pPr>
          <w:hyperlink w:anchor="_80j5ip3d3wu5">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Cálculo de los Puntos de Casos de Uso sin Ajustar (UUCP)</w:t>
              <w:tab/>
              <w:t xml:space="preserve">8</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360" w:firstLine="0"/>
            <w:rPr>
              <w:i w:val="1"/>
              <w:iCs w:val="1"/>
              <w:color w:val="548dd4"/>
              <w:u w:val="none"/>
            </w:rPr>
          </w:pPr>
          <w:hyperlink w:anchor="_6ss6fvj354d8">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Puntos de Casos de Uso Ajustados</w:t>
              <w:tab/>
              <w:t xml:space="preserve">8</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3">
      <w:pPr>
        <w:ind w:left="0" w:firstLine="0"/>
        <w:rPr/>
      </w:pPr>
      <w:r w:rsidDel="00000000" w:rsidR="00000000" w:rsidRPr="00000000">
        <w:rPr>
          <w:rtl w:val="0"/>
        </w:rPr>
      </w:r>
    </w:p>
    <w:p w:rsidR="00000000" w:rsidDel="00000000" w:rsidP="00000000" w:rsidRDefault="00000000" w:rsidRPr="00000000" w14:paraId="00000024">
      <w:pPr>
        <w:rPr/>
      </w:pPr>
      <w:r w:rsidDel="00000000" w:rsidR="00000000" w:rsidRPr="00000000">
        <w:br w:type="page"/>
      </w:r>
      <w:r w:rsidDel="00000000" w:rsidR="00000000" w:rsidRPr="00000000">
        <w:rPr>
          <w:rtl w:val="0"/>
        </w:rPr>
      </w:r>
    </w:p>
    <w:p w:rsidR="00000000" w:rsidDel="00000000" w:rsidP="00000000" w:rsidRDefault="00000000" w:rsidRPr="00000000" w14:paraId="00000025">
      <w:pPr>
        <w:pStyle w:val="Title"/>
        <w:pBdr>
          <w:bottom w:color="4f81bd" w:space="4" w:sz="8" w:val="single"/>
        </w:pBdr>
        <w:spacing w:after="300" w:before="0" w:line="240" w:lineRule="auto"/>
        <w:rPr>
          <w:vertAlign w:val="baseline"/>
        </w:rPr>
      </w:pPr>
      <w:bookmarkStart w:colFirst="0" w:colLast="0" w:name="_jhrwfs4uut1o" w:id="0"/>
      <w:bookmarkEnd w:id="0"/>
      <w:r w:rsidDel="00000000" w:rsidR="00000000" w:rsidRPr="00000000">
        <w:rPr>
          <w:vertAlign w:val="baseline"/>
          <w:rtl w:val="0"/>
        </w:rPr>
        <w:t xml:space="preserve">Plan de Estimación</w:t>
      </w:r>
    </w:p>
    <w:p w:rsidR="00000000" w:rsidDel="00000000" w:rsidP="00000000" w:rsidRDefault="00000000" w:rsidRPr="00000000" w14:paraId="00000026">
      <w:pPr>
        <w:pStyle w:val="Heading1"/>
        <w:keepNext w:val="1"/>
        <w:widowControl w:val="0"/>
        <w:tabs>
          <w:tab w:val="left" w:leader="none" w:pos="0"/>
        </w:tabs>
        <w:spacing w:after="60" w:before="120" w:lineRule="auto"/>
        <w:ind w:left="0"/>
        <w:rPr>
          <w:vertAlign w:val="baseline"/>
        </w:rPr>
      </w:pPr>
      <w:bookmarkStart w:colFirst="0" w:colLast="0" w:name="_meg1zv33sqdo" w:id="1"/>
      <w:bookmarkEnd w:id="1"/>
      <w:r w:rsidDel="00000000" w:rsidR="00000000" w:rsidRPr="00000000">
        <w:rPr>
          <w:vertAlign w:val="baseline"/>
          <w:rtl w:val="0"/>
        </w:rPr>
        <w:t xml:space="preserve">Introducción</w:t>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Los casos de uso por sí mismos no permiten efectuar una estimación del tamaño que tendrá el sistema, ni del esfuerzo y el tiempo necesario para implementarlo. Estos permiten documentar los requerimientos del software de una manera compacta y precisa, luego con los puntos de función se puede estimar el tamaño del software a partir de los requerimientos obtenidos de los casos de uso.</w:t>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Puntos de función de casos de uso consiste en evaluar la complejidad de un sistema de software por medio de una técnica en la que se le asigna una cantidad de puntos de peso, que califican diferentes elementos que componen el sistema de software así como algunos factores del entorno, para obtener una aproximación del tiempo requerido y la cantidad de esfuerzo necesario para la implementación del mismo.</w:t>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Este proceso se lleva a cabo mediante una </w:t>
      </w:r>
      <w:r w:rsidDel="00000000" w:rsidR="00000000" w:rsidRPr="00000000">
        <w:rPr>
          <w:rtl w:val="0"/>
        </w:rPr>
        <w:t xml:space="preserve">serie de pasos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que como se mencionó anteriormente evalúan cada factor, empezando por ponderar los casos de uso sin ajustar. Esto quiere decir que únicamente son tomados en cuenta los actores (UAW) y los casos de uso (UUCW). Dicho paso se lleva a cabo dejando por el momento los factores técnicos (TCF) y los factores ambientales (EF), para evaluarlos más tarde. Con el fin de multiplicarlos por el resultado final de los casos de uso sin ajustar. Así, se da el resultado de los casos de uso ajustados, que caracteriza la complejidad del sistema y es usado para obtener una idea del número de horas-persona para un proyecto.</w:t>
      </w:r>
    </w:p>
    <w:p w:rsidR="00000000" w:rsidDel="00000000" w:rsidP="00000000" w:rsidRDefault="00000000" w:rsidRPr="00000000" w14:paraId="0000002A">
      <w:pPr>
        <w:pStyle w:val="Heading2"/>
        <w:keepNext w:val="1"/>
        <w:keepLines w:val="1"/>
        <w:rPr>
          <w:vertAlign w:val="baseline"/>
        </w:rPr>
      </w:pPr>
      <w:bookmarkStart w:colFirst="0" w:colLast="0" w:name="_i7cle0xnggko" w:id="2"/>
      <w:bookmarkEnd w:id="2"/>
      <w:r w:rsidDel="00000000" w:rsidR="00000000" w:rsidRPr="00000000">
        <w:rPr>
          <w:vertAlign w:val="baseline"/>
          <w:rtl w:val="0"/>
        </w:rPr>
        <w:t xml:space="preserve">Propósito</w:t>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Durante el desarrollo de un proyecto de software es necesario estimar:</w:t>
      </w:r>
    </w:p>
    <w:p w:rsidR="00000000" w:rsidDel="00000000" w:rsidP="00000000" w:rsidRDefault="00000000" w:rsidRPr="00000000" w14:paraId="0000002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Cuanto tiempo se tardará en desarrollar el sistema</w:t>
      </w:r>
    </w:p>
    <w:p w:rsidR="00000000" w:rsidDel="00000000" w:rsidP="00000000" w:rsidRDefault="00000000" w:rsidRPr="00000000" w14:paraId="0000002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tl w:val="0"/>
        </w:rPr>
        <w:t xml:space="preserve">Cuántas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personas se necesitarán para desarrollarlo</w:t>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Por lo tanto es necesario cuantificar:</w:t>
      </w:r>
    </w:p>
    <w:p w:rsidR="00000000" w:rsidDel="00000000" w:rsidP="00000000" w:rsidRDefault="00000000" w:rsidRPr="00000000" w14:paraId="0000002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Complejidad del Sistema</w:t>
      </w:r>
    </w:p>
    <w:p w:rsidR="00000000" w:rsidDel="00000000" w:rsidP="00000000" w:rsidRDefault="00000000" w:rsidRPr="00000000" w14:paraId="0000003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Funcionalidad</w:t>
      </w:r>
    </w:p>
    <w:p w:rsidR="00000000" w:rsidDel="00000000" w:rsidP="00000000" w:rsidRDefault="00000000" w:rsidRPr="00000000" w14:paraId="0000003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Complejidad Técnica</w:t>
      </w:r>
    </w:p>
    <w:p w:rsidR="00000000" w:rsidDel="00000000" w:rsidP="00000000" w:rsidRDefault="00000000" w:rsidRPr="00000000" w14:paraId="0000003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El nivel de experiencia de los integrantes del proyecto</w:t>
      </w:r>
    </w:p>
    <w:p w:rsidR="00000000" w:rsidDel="00000000" w:rsidP="00000000" w:rsidRDefault="00000000" w:rsidRPr="00000000" w14:paraId="0000003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El tiempo necesario para producir una unidad funcional</w:t>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br w:type="textWrapping"/>
        <w:t xml:space="preserve">En este </w:t>
      </w:r>
      <w:r w:rsidDel="00000000" w:rsidR="00000000" w:rsidRPr="00000000">
        <w:rPr>
          <w:rtl w:val="0"/>
        </w:rPr>
        <w:t xml:space="preserve">documento se presenta</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un método de estimación desarrollado por Gustav Karner, perteneciente a Rational Software Corporation, el cual caracteriza la complejidad de un sistema a través de Puntos de Casos de Uso.</w:t>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6">
      <w:pPr>
        <w:pStyle w:val="Heading2"/>
        <w:keepNext w:val="1"/>
        <w:keepLines w:val="1"/>
        <w:rPr>
          <w:vertAlign w:val="baseline"/>
        </w:rPr>
      </w:pPr>
      <w:bookmarkStart w:colFirst="0" w:colLast="0" w:name="_1x3fypkwr9f2" w:id="3"/>
      <w:bookmarkEnd w:id="3"/>
      <w:r w:rsidDel="00000000" w:rsidR="00000000" w:rsidRPr="00000000">
        <w:rPr>
          <w:vertAlign w:val="baseline"/>
          <w:rtl w:val="0"/>
        </w:rPr>
        <w:t xml:space="preserve">Alcance</w:t>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El método presentado es estimativo y deberá ser utilizado para tomar una idea del número de horas – hombre para el proyecto.</w:t>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Las fórmulas han sido obtenidas empíricamente, y la experiencia hasta la fecha muestra que las mismas se aplican en buena forma para aplicaciones de negocios, como ser sistemas de información.</w:t>
        <w:br w:type="textWrapping"/>
      </w:r>
    </w:p>
    <w:p w:rsidR="00000000" w:rsidDel="00000000" w:rsidP="00000000" w:rsidRDefault="00000000" w:rsidRPr="00000000" w14:paraId="00000039">
      <w:pPr>
        <w:pStyle w:val="Heading2"/>
        <w:keepNext w:val="1"/>
        <w:keepLines w:val="1"/>
        <w:rPr>
          <w:vertAlign w:val="baseline"/>
        </w:rPr>
      </w:pPr>
      <w:bookmarkStart w:colFirst="0" w:colLast="0" w:name="_ye4fszmm2xpm" w:id="4"/>
      <w:bookmarkEnd w:id="4"/>
      <w:r w:rsidDel="00000000" w:rsidR="00000000" w:rsidRPr="00000000">
        <w:rPr>
          <w:vertAlign w:val="baseline"/>
          <w:rtl w:val="0"/>
        </w:rPr>
        <w:t xml:space="preserve">Resumen</w:t>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El presente método se compone de los siguientes pasos:</w:t>
      </w:r>
    </w:p>
    <w:p w:rsidR="00000000" w:rsidDel="00000000" w:rsidP="00000000" w:rsidRDefault="00000000" w:rsidRPr="00000000" w14:paraId="0000003B">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Cálculo de Puntos de Casos de Uso Sin Ajustar (UUCP)</w:t>
      </w:r>
    </w:p>
    <w:p w:rsidR="00000000" w:rsidDel="00000000" w:rsidP="00000000" w:rsidRDefault="00000000" w:rsidRPr="00000000" w14:paraId="0000003C">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Cálculo de Puntos de Casos de Uso Ajustados (UCP)</w:t>
      </w:r>
    </w:p>
    <w:p w:rsidR="00000000" w:rsidDel="00000000" w:rsidP="00000000" w:rsidRDefault="00000000" w:rsidRPr="00000000" w14:paraId="0000003D">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Estimación del número de Horas-Hombre</w:t>
      </w:r>
    </w:p>
    <w:p w:rsidR="00000000" w:rsidDel="00000000" w:rsidP="00000000" w:rsidRDefault="00000000" w:rsidRPr="00000000" w14:paraId="0000003E">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Estimación del número de Horas-Hombre refinado</w:t>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0">
      <w:pPr>
        <w:pStyle w:val="Heading2"/>
        <w:keepNext w:val="1"/>
        <w:keepLines w:val="1"/>
        <w:ind w:left="0"/>
        <w:rPr>
          <w:vertAlign w:val="baseline"/>
        </w:rPr>
      </w:pPr>
      <w:bookmarkStart w:colFirst="0" w:colLast="0" w:name="_jg6kdovnp1av" w:id="5"/>
      <w:bookmarkEnd w:id="5"/>
      <w:r w:rsidDel="00000000" w:rsidR="00000000" w:rsidRPr="00000000">
        <w:rPr>
          <w:vertAlign w:val="baseline"/>
          <w:rtl w:val="0"/>
        </w:rPr>
        <w:t xml:space="preserve">Objetivos de la administración</w:t>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El objetivo de este plan es obtener un número simple que </w:t>
      </w:r>
      <w:r w:rsidDel="00000000" w:rsidR="00000000" w:rsidRPr="00000000">
        <w:rPr>
          <w:rtl w:val="0"/>
        </w:rPr>
        <w:t xml:space="preserve">caracteriza</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completamente al sistema y se corresponda con la productividad en las tareas de ingeniería que ha sido observada.</w:t>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3">
      <w:pPr>
        <w:pStyle w:val="Heading2"/>
        <w:keepNext w:val="1"/>
        <w:keepLines w:val="1"/>
        <w:rPr>
          <w:vertAlign w:val="baseline"/>
        </w:rPr>
      </w:pPr>
      <w:bookmarkStart w:colFirst="0" w:colLast="0" w:name="_42oj5skecqfh" w:id="6"/>
      <w:bookmarkEnd w:id="6"/>
      <w:r w:rsidDel="00000000" w:rsidR="00000000" w:rsidRPr="00000000">
        <w:rPr>
          <w:vertAlign w:val="baseline"/>
          <w:rtl w:val="0"/>
        </w:rPr>
        <w:t xml:space="preserve">Referencias</w:t>
      </w:r>
    </w:p>
    <w:p w:rsidR="00000000" w:rsidDel="00000000" w:rsidP="00000000" w:rsidRDefault="00000000" w:rsidRPr="00000000" w14:paraId="00000044">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bCs w:val="1"/>
          <w:i w:val="1"/>
          <w:iCs w:val="1"/>
          <w:smallCaps w:val="0"/>
          <w:strike w:val="0"/>
          <w:color w:val="4f81bd"/>
          <w:sz w:val="22"/>
          <w:szCs w:val="22"/>
          <w:u w:val="none"/>
          <w:shd w:fill="auto" w:val="clear"/>
          <w:vertAlign w:val="baseline"/>
        </w:rPr>
      </w:pPr>
      <w:r w:rsidDel="00000000" w:rsidR="00000000" w:rsidRPr="00000000">
        <w:rPr>
          <w:rFonts w:ascii="Cambria" w:cs="Cambria" w:eastAsia="Cambria" w:hAnsi="Cambria"/>
          <w:b w:val="1"/>
          <w:bCs w:val="1"/>
          <w:i w:val="1"/>
          <w:iCs w:val="1"/>
          <w:smallCaps w:val="0"/>
          <w:strike w:val="0"/>
          <w:color w:val="4f81bd"/>
          <w:sz w:val="22"/>
          <w:szCs w:val="22"/>
          <w:u w:val="none"/>
          <w:shd w:fill="auto" w:val="clear"/>
          <w:vertAlign w:val="baseline"/>
          <w:rtl w:val="0"/>
        </w:rPr>
        <w:t xml:space="preserve">Applying Use Cases: A Practical Guide</w:t>
      </w:r>
    </w:p>
    <w:p w:rsidR="00000000" w:rsidDel="00000000" w:rsidP="00000000" w:rsidRDefault="00000000" w:rsidRPr="00000000" w14:paraId="00000045">
      <w:pPr>
        <w:spacing w:before="0" w:line="240" w:lineRule="auto"/>
        <w:ind w:left="720" w:firstLine="0"/>
        <w:rPr/>
      </w:pPr>
      <w:r w:rsidDel="00000000" w:rsidR="00000000" w:rsidRPr="00000000">
        <w:rPr>
          <w:rtl w:val="0"/>
        </w:rPr>
        <w:t xml:space="preserve">Authores:  G. Schneider y J. P. Winters</w:t>
      </w:r>
    </w:p>
    <w:p w:rsidR="00000000" w:rsidDel="00000000" w:rsidP="00000000" w:rsidRDefault="00000000" w:rsidRPr="00000000" w14:paraId="00000046">
      <w:pPr>
        <w:spacing w:before="0" w:line="240" w:lineRule="auto"/>
        <w:rPr/>
      </w:pPr>
      <w:r w:rsidDel="00000000" w:rsidR="00000000" w:rsidRPr="00000000">
        <w:rPr>
          <w:rtl w:val="0"/>
        </w:rPr>
        <w:tab/>
        <w:t xml:space="preserve">Edición:     Segunda – Editorial: Addison Wesley</w:t>
      </w:r>
    </w:p>
    <w:p w:rsidR="00000000" w:rsidDel="00000000" w:rsidP="00000000" w:rsidRDefault="00000000" w:rsidRPr="00000000" w14:paraId="00000047">
      <w:pPr>
        <w:spacing w:before="0" w:line="240" w:lineRule="auto"/>
        <w:rPr/>
      </w:pPr>
      <w:r w:rsidDel="00000000" w:rsidR="00000000" w:rsidRPr="00000000">
        <w:rPr>
          <w:rtl w:val="0"/>
        </w:rPr>
        <w:tab/>
        <w:t xml:space="preserve">ISBN:        0-2001-70853-1</w:t>
      </w:r>
    </w:p>
    <w:p w:rsidR="00000000" w:rsidDel="00000000" w:rsidP="00000000" w:rsidRDefault="00000000" w:rsidRPr="00000000" w14:paraId="00000048">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bCs w:val="1"/>
          <w:i w:val="1"/>
          <w:iCs w:val="1"/>
          <w:smallCaps w:val="0"/>
          <w:strike w:val="0"/>
          <w:color w:val="4f81bd"/>
          <w:sz w:val="22"/>
          <w:szCs w:val="22"/>
          <w:u w:val="none"/>
          <w:shd w:fill="auto" w:val="clear"/>
          <w:vertAlign w:val="baseline"/>
        </w:rPr>
      </w:pPr>
      <w:r w:rsidDel="00000000" w:rsidR="00000000" w:rsidRPr="00000000">
        <w:rPr>
          <w:rFonts w:ascii="Cambria" w:cs="Cambria" w:eastAsia="Cambria" w:hAnsi="Cambria"/>
          <w:b w:val="1"/>
          <w:bCs w:val="1"/>
          <w:i w:val="1"/>
          <w:iCs w:val="1"/>
          <w:smallCaps w:val="0"/>
          <w:strike w:val="0"/>
          <w:color w:val="4f81bd"/>
          <w:sz w:val="22"/>
          <w:szCs w:val="22"/>
          <w:u w:val="none"/>
          <w:shd w:fill="auto" w:val="clear"/>
          <w:vertAlign w:val="baseline"/>
          <w:rtl w:val="0"/>
        </w:rPr>
        <w:t xml:space="preserve">Resource Estimation for Objectory Projects (Paper)</w:t>
      </w:r>
    </w:p>
    <w:p w:rsidR="00000000" w:rsidDel="00000000" w:rsidP="00000000" w:rsidRDefault="00000000" w:rsidRPr="00000000" w14:paraId="00000049">
      <w:pPr>
        <w:spacing w:before="0" w:line="240" w:lineRule="auto"/>
        <w:ind w:left="720" w:firstLine="0"/>
        <w:rPr/>
      </w:pPr>
      <w:r w:rsidDel="00000000" w:rsidR="00000000" w:rsidRPr="00000000">
        <w:rPr>
          <w:rtl w:val="0"/>
        </w:rPr>
        <w:tab/>
        <w:t xml:space="preserve">G. Kerner  -  Objectory Systems</w:t>
      </w:r>
    </w:p>
    <w:p w:rsidR="00000000" w:rsidDel="00000000" w:rsidP="00000000" w:rsidRDefault="00000000" w:rsidRPr="00000000" w14:paraId="0000004A">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bCs w:val="1"/>
          <w:i w:val="1"/>
          <w:iCs w:val="1"/>
          <w:smallCaps w:val="0"/>
          <w:strike w:val="0"/>
          <w:color w:val="4f81bd"/>
          <w:sz w:val="22"/>
          <w:szCs w:val="22"/>
          <w:u w:val="none"/>
          <w:shd w:fill="auto" w:val="clear"/>
          <w:vertAlign w:val="baseline"/>
        </w:rPr>
      </w:pPr>
      <w:r w:rsidDel="00000000" w:rsidR="00000000" w:rsidRPr="00000000">
        <w:rPr>
          <w:rFonts w:ascii="Cambria" w:cs="Cambria" w:eastAsia="Cambria" w:hAnsi="Cambria"/>
          <w:b w:val="1"/>
          <w:bCs w:val="1"/>
          <w:i w:val="1"/>
          <w:iCs w:val="1"/>
          <w:smallCaps w:val="0"/>
          <w:strike w:val="0"/>
          <w:color w:val="4f81bd"/>
          <w:sz w:val="22"/>
          <w:szCs w:val="22"/>
          <w:u w:val="none"/>
          <w:shd w:fill="auto" w:val="clear"/>
          <w:vertAlign w:val="baseline"/>
          <w:rtl w:val="0"/>
        </w:rPr>
        <w:t xml:space="preserve">The Estimation of Effort Based on Use Cases (Paper)</w:t>
      </w:r>
    </w:p>
    <w:p w:rsidR="00000000" w:rsidDel="00000000" w:rsidP="00000000" w:rsidRDefault="00000000" w:rsidRPr="00000000" w14:paraId="0000004B">
      <w:pPr>
        <w:spacing w:before="0" w:line="240" w:lineRule="auto"/>
        <w:ind w:left="720" w:firstLine="0"/>
        <w:rPr/>
      </w:pPr>
      <w:r w:rsidDel="00000000" w:rsidR="00000000" w:rsidRPr="00000000">
        <w:rPr>
          <w:rtl w:val="0"/>
        </w:rPr>
        <w:tab/>
        <w:t xml:space="preserve">J. Smith - Rational Software</w:t>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Carroll, 2005; Clemmons, 2006; Karner, 1993; Nageswaran, 2007</w:t>
      </w:r>
    </w:p>
    <w:p w:rsidR="00000000" w:rsidDel="00000000" w:rsidP="00000000" w:rsidRDefault="00000000" w:rsidRPr="00000000" w14:paraId="0000004D">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4E">
      <w:pPr>
        <w:pStyle w:val="Heading1"/>
        <w:tabs>
          <w:tab w:val="left" w:leader="none" w:pos="0"/>
        </w:tabs>
        <w:rPr>
          <w:vertAlign w:val="baseline"/>
        </w:rPr>
      </w:pPr>
      <w:bookmarkStart w:colFirst="0" w:colLast="0" w:name="_tdjjgxtpewuo" w:id="7"/>
      <w:bookmarkEnd w:id="7"/>
      <w:r w:rsidDel="00000000" w:rsidR="00000000" w:rsidRPr="00000000">
        <w:rPr>
          <w:vertAlign w:val="baseline"/>
          <w:rtl w:val="0"/>
        </w:rPr>
        <w:br w:type="textWrapping"/>
        <w:t xml:space="preserve">Métricas basadas en Casos de Uso</w:t>
        <w:br w:type="textWrapping"/>
      </w:r>
    </w:p>
    <w:p w:rsidR="00000000" w:rsidDel="00000000" w:rsidP="00000000" w:rsidRDefault="00000000" w:rsidRPr="00000000" w14:paraId="0000004F">
      <w:pPr>
        <w:pStyle w:val="Heading2"/>
        <w:keepNext w:val="1"/>
        <w:keepLines w:val="1"/>
        <w:rPr>
          <w:vertAlign w:val="baseline"/>
        </w:rPr>
      </w:pPr>
      <w:bookmarkStart w:colFirst="0" w:colLast="0" w:name="_hhk92ats9rfx" w:id="8"/>
      <w:bookmarkEnd w:id="8"/>
      <w:r w:rsidDel="00000000" w:rsidR="00000000" w:rsidRPr="00000000">
        <w:rPr>
          <w:vertAlign w:val="baseline"/>
          <w:rtl w:val="0"/>
        </w:rPr>
        <w:t xml:space="preserve">Puntos de Casos de Uso Sin Ajustar</w:t>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Para realizar este cálculo es necesario conocer el Peso de los Actores y el Peso de los Casos de Uso.</w:t>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2">
      <w:pPr>
        <w:pStyle w:val="Heading3"/>
        <w:keepNext w:val="1"/>
        <w:keepLines w:val="1"/>
        <w:rPr>
          <w:vertAlign w:val="baseline"/>
        </w:rPr>
      </w:pPr>
      <w:bookmarkStart w:colFirst="0" w:colLast="0" w:name="_8qqhujknueha" w:id="9"/>
      <w:bookmarkEnd w:id="9"/>
      <w:r w:rsidDel="00000000" w:rsidR="00000000" w:rsidRPr="00000000">
        <w:rPr>
          <w:vertAlign w:val="baseline"/>
          <w:rtl w:val="0"/>
        </w:rPr>
        <w:t xml:space="preserve">Peso de los Actores (UAW)</w:t>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 consideran los actores del sistema determinando si su intervención es simple, promedio o avanzada de acuerdo a la siguiente tabla:</w:t>
      </w:r>
    </w:p>
    <w:p w:rsidR="00000000" w:rsidDel="00000000" w:rsidP="00000000" w:rsidRDefault="00000000" w:rsidRPr="00000000" w14:paraId="00000054">
      <w:pPr>
        <w:jc w:val="both"/>
        <w:rPr/>
      </w:pPr>
      <w:r w:rsidDel="00000000" w:rsidR="00000000" w:rsidRPr="00000000">
        <w:rPr>
          <w:rtl w:val="0"/>
        </w:rPr>
      </w:r>
    </w:p>
    <w:tbl>
      <w:tblPr>
        <w:tblStyle w:val="Table1"/>
        <w:tblW w:w="7366.999999999999" w:type="dxa"/>
        <w:jc w:val="center"/>
        <w:tblLayout w:type="fixed"/>
        <w:tblLook w:val="0000"/>
      </w:tblPr>
      <w:tblGrid>
        <w:gridCol w:w="1739"/>
        <w:gridCol w:w="5628"/>
        <w:tblGridChange w:id="0">
          <w:tblGrid>
            <w:gridCol w:w="1739"/>
            <w:gridCol w:w="5628"/>
          </w:tblGrid>
        </w:tblGridChange>
      </w:tblGrid>
      <w:tr>
        <w:trPr>
          <w:cantSplit w:val="0"/>
          <w:tblHeader w:val="1"/>
        </w:trPr>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55">
            <w:pPr>
              <w:rPr>
                <w:b w:val="1"/>
                <w:bCs w:val="1"/>
              </w:rPr>
            </w:pPr>
            <w:r w:rsidDel="00000000" w:rsidR="00000000" w:rsidRPr="00000000">
              <w:rPr>
                <w:b w:val="1"/>
                <w:bCs w:val="1"/>
                <w:rtl w:val="0"/>
              </w:rPr>
              <w:t xml:space="preserve">Tipo de Actor</w:t>
            </w:r>
          </w:p>
        </w:tc>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56">
            <w:pPr>
              <w:rPr>
                <w:b w:val="1"/>
                <w:bCs w:val="1"/>
              </w:rPr>
            </w:pPr>
            <w:r w:rsidDel="00000000" w:rsidR="00000000" w:rsidRPr="00000000">
              <w:rPr>
                <w:b w:val="1"/>
                <w:bCs w:val="1"/>
                <w:rtl w:val="0"/>
              </w:rPr>
              <w:t xml:space="preserve">Descripción</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Simple</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Otro sistema con una interfaz de aplicación definida.</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Promedio</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48"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Otro sistema interactuando a través de un protocolo, o un usuario interactuando por medio de una interface basada en texto.</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Complejo</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Un usuario interactuando a través de una GUI.</w:t>
            </w:r>
          </w:p>
        </w:tc>
      </w:tr>
    </w:tbl>
    <w:p w:rsidR="00000000" w:rsidDel="00000000" w:rsidP="00000000" w:rsidRDefault="00000000" w:rsidRPr="00000000" w14:paraId="0000005D">
      <w:pPr>
        <w:ind w:left="0" w:firstLine="0"/>
        <w:rPr/>
      </w:pPr>
      <w:r w:rsidDel="00000000" w:rsidR="00000000" w:rsidRPr="00000000">
        <w:rPr>
          <w:rtl w:val="0"/>
        </w:rPr>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 cuenta la cantidad de actores de cada tipo.</w:t>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 multiplica cada tipo por el factor de peso.</w:t>
      </w:r>
      <w:r w:rsidDel="00000000" w:rsidR="00000000" w:rsidRPr="00000000">
        <w:rPr>
          <w:rtl w:val="0"/>
        </w:rPr>
      </w:r>
    </w:p>
    <w:tbl>
      <w:tblPr>
        <w:tblStyle w:val="Table2"/>
        <w:tblW w:w="2276.0" w:type="dxa"/>
        <w:jc w:val="center"/>
        <w:tblLayout w:type="fixed"/>
        <w:tblLook w:val="0000"/>
      </w:tblPr>
      <w:tblGrid>
        <w:gridCol w:w="1358"/>
        <w:gridCol w:w="918"/>
        <w:tblGridChange w:id="0">
          <w:tblGrid>
            <w:gridCol w:w="1358"/>
            <w:gridCol w:w="918"/>
          </w:tblGrid>
        </w:tblGridChange>
      </w:tblGrid>
      <w:tr>
        <w:trPr>
          <w:cantSplit w:val="0"/>
          <w:tblHeader w:val="1"/>
        </w:trPr>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60">
            <w:pPr>
              <w:rPr>
                <w:b w:val="1"/>
                <w:bCs w:val="1"/>
              </w:rPr>
            </w:pPr>
            <w:r w:rsidDel="00000000" w:rsidR="00000000" w:rsidRPr="00000000">
              <w:rPr>
                <w:b w:val="1"/>
                <w:bCs w:val="1"/>
                <w:rtl w:val="0"/>
              </w:rPr>
              <w:t xml:space="preserve">Tipo de Actor</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061">
            <w:pPr>
              <w:jc w:val="center"/>
              <w:rPr>
                <w:b w:val="1"/>
                <w:bCs w:val="1"/>
              </w:rPr>
            </w:pPr>
            <w:r w:rsidDel="00000000" w:rsidR="00000000" w:rsidRPr="00000000">
              <w:rPr>
                <w:b w:val="1"/>
                <w:bCs w:val="1"/>
                <w:rtl w:val="0"/>
              </w:rPr>
              <w:t xml:space="preserve">Peso</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Simple</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Promedio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Complejo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w:t>
            </w:r>
          </w:p>
        </w:tc>
      </w:tr>
    </w:tbl>
    <w:p w:rsidR="00000000" w:rsidDel="00000000" w:rsidP="00000000" w:rsidRDefault="00000000" w:rsidRPr="00000000" w14:paraId="00000068">
      <w:pPr>
        <w:rPr/>
      </w:pPr>
      <w:r w:rsidDel="00000000" w:rsidR="00000000" w:rsidRPr="00000000">
        <w:rPr>
          <w:rtl w:val="0"/>
        </w:rPr>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Finalmente, se suman estos productos para obtener el total.</w:t>
      </w:r>
    </w:p>
    <w:p w:rsidR="00000000" w:rsidDel="00000000" w:rsidP="00000000" w:rsidRDefault="00000000" w:rsidRPr="00000000" w14:paraId="0000006A">
      <w:pPr>
        <w:ind w:left="2268" w:firstLine="0"/>
        <w:jc w:val="both"/>
        <w:rPr/>
      </w:pPr>
      <w:r w:rsidDel="00000000" w:rsidR="00000000" w:rsidRPr="00000000">
        <w:rPr>
          <w:rtl w:val="0"/>
        </w:rPr>
      </w:r>
    </w:p>
    <w:p w:rsidR="00000000" w:rsidDel="00000000" w:rsidP="00000000" w:rsidRDefault="00000000" w:rsidRPr="00000000" w14:paraId="0000006B">
      <w:pPr>
        <w:pStyle w:val="Heading3"/>
        <w:keepNext w:val="1"/>
        <w:keepLines w:val="1"/>
        <w:rPr>
          <w:vertAlign w:val="baseline"/>
        </w:rPr>
      </w:pPr>
      <w:bookmarkStart w:colFirst="0" w:colLast="0" w:name="_8rb1tby59wc" w:id="10"/>
      <w:bookmarkEnd w:id="10"/>
      <w:r w:rsidDel="00000000" w:rsidR="00000000" w:rsidRPr="00000000">
        <w:rPr>
          <w:vertAlign w:val="baseline"/>
          <w:rtl w:val="0"/>
        </w:rPr>
        <w:t xml:space="preserve">Peso de los Casos de Uso (UUCW)</w:t>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En primer lugar se debe determinar para cada Caso de Uso su tipo: Simple, Promedio o Complejo.</w:t>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Existen dos alternativas para realizar esta tarea:</w:t>
      </w:r>
    </w:p>
    <w:p w:rsidR="00000000" w:rsidDel="00000000" w:rsidP="00000000" w:rsidRDefault="00000000" w:rsidRPr="00000000" w14:paraId="0000006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Basado en transacciones</w:t>
      </w:r>
    </w:p>
    <w:p w:rsidR="00000000" w:rsidDel="00000000" w:rsidP="00000000" w:rsidRDefault="00000000" w:rsidRPr="00000000" w14:paraId="0000006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Basado en Clases de Análisis</w:t>
      </w:r>
    </w:p>
    <w:p w:rsidR="00000000" w:rsidDel="00000000" w:rsidP="00000000" w:rsidRDefault="00000000" w:rsidRPr="00000000" w14:paraId="00000070">
      <w:pPr>
        <w:ind w:left="0" w:firstLine="0"/>
        <w:rPr/>
      </w:pPr>
      <w:r w:rsidDel="00000000" w:rsidR="00000000" w:rsidRPr="00000000">
        <w:rPr>
          <w:rtl w:val="0"/>
        </w:rPr>
      </w:r>
    </w:p>
    <w:p w:rsidR="00000000" w:rsidDel="00000000" w:rsidP="00000000" w:rsidRDefault="00000000" w:rsidRPr="00000000" w14:paraId="00000071">
      <w:pPr>
        <w:pStyle w:val="Heading4"/>
        <w:keepNext w:val="1"/>
        <w:keepLines w:val="1"/>
        <w:ind w:left="0"/>
        <w:rPr>
          <w:vertAlign w:val="baseline"/>
        </w:rPr>
      </w:pPr>
      <w:bookmarkStart w:colFirst="0" w:colLast="0" w:name="_si59hafh2pqa" w:id="11"/>
      <w:bookmarkEnd w:id="11"/>
      <w:r w:rsidDel="00000000" w:rsidR="00000000" w:rsidRPr="00000000">
        <w:rPr>
          <w:vertAlign w:val="baseline"/>
          <w:rtl w:val="0"/>
        </w:rPr>
        <w:t xml:space="preserve">Basado en transacciones</w:t>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 determina el número de transacciones en un caso de uso, incluyendo los flujos alternativos.</w:t>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 entiende por transacción  a un set atómico de actividades, que deben ejecutarse completamente o no hacerlo en absoluto.</w:t>
      </w:r>
    </w:p>
    <w:p w:rsidR="00000000" w:rsidDel="00000000" w:rsidP="00000000" w:rsidRDefault="00000000" w:rsidRPr="00000000" w14:paraId="00000074">
      <w:pPr>
        <w:ind w:left="0" w:firstLine="0"/>
        <w:rPr/>
      </w:pPr>
      <w:r w:rsidDel="00000000" w:rsidR="00000000" w:rsidRPr="00000000">
        <w:rPr>
          <w:rtl w:val="0"/>
        </w:rPr>
      </w:r>
    </w:p>
    <w:tbl>
      <w:tblPr>
        <w:tblStyle w:val="Table3"/>
        <w:tblW w:w="5806.0" w:type="dxa"/>
        <w:jc w:val="center"/>
        <w:tblLayout w:type="fixed"/>
        <w:tblLook w:val="0000"/>
      </w:tblPr>
      <w:tblGrid>
        <w:gridCol w:w="1980"/>
        <w:gridCol w:w="2939"/>
        <w:gridCol w:w="887"/>
        <w:tblGridChange w:id="0">
          <w:tblGrid>
            <w:gridCol w:w="1980"/>
            <w:gridCol w:w="2939"/>
            <w:gridCol w:w="887"/>
          </w:tblGrid>
        </w:tblGridChange>
      </w:tblGrid>
      <w:tr>
        <w:trPr>
          <w:cantSplit w:val="0"/>
          <w:tblHeader w:val="1"/>
        </w:trPr>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75">
            <w:pPr>
              <w:rPr>
                <w:b w:val="1"/>
                <w:bCs w:val="1"/>
              </w:rPr>
            </w:pPr>
            <w:r w:rsidDel="00000000" w:rsidR="00000000" w:rsidRPr="00000000">
              <w:rPr>
                <w:b w:val="1"/>
                <w:bCs w:val="1"/>
                <w:rtl w:val="0"/>
              </w:rPr>
              <w:t xml:space="preserve">Tipo de Caso de uso</w:t>
            </w:r>
          </w:p>
        </w:tc>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76">
            <w:pPr>
              <w:rPr>
                <w:b w:val="1"/>
                <w:bCs w:val="1"/>
              </w:rPr>
            </w:pPr>
            <w:r w:rsidDel="00000000" w:rsidR="00000000" w:rsidRPr="00000000">
              <w:rPr>
                <w:b w:val="1"/>
                <w:bCs w:val="1"/>
                <w:rtl w:val="0"/>
              </w:rPr>
              <w:t xml:space="preserve">Descripción – Compuesto por</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077">
            <w:pPr>
              <w:jc w:val="center"/>
              <w:rPr>
                <w:b w:val="1"/>
                <w:bCs w:val="1"/>
              </w:rPr>
            </w:pPr>
            <w:r w:rsidDel="00000000" w:rsidR="00000000" w:rsidRPr="00000000">
              <w:rPr>
                <w:b w:val="1"/>
                <w:bCs w:val="1"/>
                <w:rtl w:val="0"/>
              </w:rPr>
              <w:t xml:space="preserve">Factor</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Simple</w:t>
            </w:r>
          </w:p>
        </w:tc>
        <w:tc>
          <w:tcPr>
            <w:tcBorders>
              <w:left w:color="000000" w:space="0" w:sz="4" w:val="single"/>
              <w:bottom w:color="000000" w:space="0" w:sz="4" w:val="single"/>
            </w:tcBorders>
          </w:tcPr>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 transacciones o menos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Promedio</w:t>
            </w:r>
          </w:p>
        </w:tc>
        <w:tc>
          <w:tcPr>
            <w:tcBorders>
              <w:left w:color="000000" w:space="0" w:sz="4" w:val="single"/>
              <w:bottom w:color="000000" w:space="0" w:sz="4" w:val="single"/>
            </w:tcBorders>
          </w:tcPr>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 a 7 transacciones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10</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Complejo</w:t>
            </w:r>
          </w:p>
        </w:tc>
        <w:tc>
          <w:tcPr>
            <w:tcBorders>
              <w:left w:color="000000" w:space="0" w:sz="4" w:val="single"/>
              <w:bottom w:color="000000" w:space="0" w:sz="4" w:val="single"/>
            </w:tcBorders>
          </w:tcPr>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Más de 7 transacciones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15</w:t>
            </w:r>
          </w:p>
        </w:tc>
      </w:tr>
    </w:tbl>
    <w:p w:rsidR="00000000" w:rsidDel="00000000" w:rsidP="00000000" w:rsidRDefault="00000000" w:rsidRPr="00000000" w14:paraId="00000081">
      <w:pPr>
        <w:pStyle w:val="Heading4"/>
        <w:keepNext w:val="1"/>
        <w:keepLines w:val="1"/>
        <w:ind w:left="0"/>
        <w:rPr>
          <w:vertAlign w:val="baseline"/>
        </w:rPr>
      </w:pPr>
      <w:bookmarkStart w:colFirst="0" w:colLast="0" w:name="_b9kegview753" w:id="12"/>
      <w:bookmarkEnd w:id="12"/>
      <w:r w:rsidDel="00000000" w:rsidR="00000000" w:rsidRPr="00000000">
        <w:rPr>
          <w:vertAlign w:val="baseline"/>
          <w:rtl w:val="0"/>
        </w:rPr>
        <w:t xml:space="preserve">Basado en Clases de Análisis</w:t>
      </w:r>
    </w:p>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 debe observar </w:t>
      </w:r>
      <w:r w:rsidDel="00000000" w:rsidR="00000000" w:rsidRPr="00000000">
        <w:rPr>
          <w:rtl w:val="0"/>
        </w:rPr>
        <w:t xml:space="preserve">cuántas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clases de análisis se han utilizado para realizar un caso de uso en particular</w:t>
      </w:r>
    </w:p>
    <w:p w:rsidR="00000000" w:rsidDel="00000000" w:rsidP="00000000" w:rsidRDefault="00000000" w:rsidRPr="00000000" w14:paraId="00000083">
      <w:pPr>
        <w:rPr/>
      </w:pPr>
      <w:r w:rsidDel="00000000" w:rsidR="00000000" w:rsidRPr="00000000">
        <w:rPr>
          <w:rtl w:val="0"/>
        </w:rPr>
      </w:r>
    </w:p>
    <w:tbl>
      <w:tblPr>
        <w:tblStyle w:val="Table4"/>
        <w:tblW w:w="6118.000000000001" w:type="dxa"/>
        <w:jc w:val="center"/>
        <w:tblLayout w:type="fixed"/>
        <w:tblLook w:val="0000"/>
      </w:tblPr>
      <w:tblGrid>
        <w:gridCol w:w="2063"/>
        <w:gridCol w:w="3026"/>
        <w:gridCol w:w="1029"/>
        <w:tblGridChange w:id="0">
          <w:tblGrid>
            <w:gridCol w:w="2063"/>
            <w:gridCol w:w="3026"/>
            <w:gridCol w:w="1029"/>
          </w:tblGrid>
        </w:tblGridChange>
      </w:tblGrid>
      <w:tr>
        <w:trPr>
          <w:cantSplit w:val="0"/>
          <w:tblHeader w:val="1"/>
        </w:trPr>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84">
            <w:pPr>
              <w:rPr>
                <w:b w:val="1"/>
                <w:bCs w:val="1"/>
              </w:rPr>
            </w:pPr>
            <w:r w:rsidDel="00000000" w:rsidR="00000000" w:rsidRPr="00000000">
              <w:rPr>
                <w:b w:val="1"/>
                <w:bCs w:val="1"/>
                <w:rtl w:val="0"/>
              </w:rPr>
              <w:t xml:space="preserve">Tipo de Caso de uso</w:t>
            </w:r>
          </w:p>
        </w:tc>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85">
            <w:pPr>
              <w:rPr>
                <w:b w:val="1"/>
                <w:bCs w:val="1"/>
              </w:rPr>
            </w:pPr>
            <w:r w:rsidDel="00000000" w:rsidR="00000000" w:rsidRPr="00000000">
              <w:rPr>
                <w:b w:val="1"/>
                <w:bCs w:val="1"/>
                <w:rtl w:val="0"/>
              </w:rPr>
              <w:t xml:space="preserve">Descripción – Compuesto por</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086">
            <w:pPr>
              <w:jc w:val="center"/>
              <w:rPr>
                <w:b w:val="1"/>
                <w:bCs w:val="1"/>
              </w:rPr>
            </w:pPr>
            <w:r w:rsidDel="00000000" w:rsidR="00000000" w:rsidRPr="00000000">
              <w:rPr>
                <w:b w:val="1"/>
                <w:bCs w:val="1"/>
                <w:rtl w:val="0"/>
              </w:rPr>
              <w:t xml:space="preserve">Factor</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Simple</w:t>
            </w:r>
          </w:p>
        </w:tc>
        <w:tc>
          <w:tcPr>
            <w:tcBorders>
              <w:left w:color="000000" w:space="0" w:sz="4" w:val="single"/>
              <w:bottom w:color="000000" w:space="0" w:sz="4" w:val="single"/>
            </w:tcBorders>
          </w:tcPr>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Menos de 5 clases de análisis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Promedio</w:t>
            </w:r>
          </w:p>
        </w:tc>
        <w:tc>
          <w:tcPr>
            <w:tcBorders>
              <w:left w:color="000000" w:space="0" w:sz="4" w:val="single"/>
              <w:bottom w:color="000000" w:space="0" w:sz="4" w:val="single"/>
            </w:tcBorders>
          </w:tcPr>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5 a 10 clases de análisis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10</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Complejo</w:t>
            </w:r>
          </w:p>
        </w:tc>
        <w:tc>
          <w:tcPr>
            <w:tcBorders>
              <w:left w:color="000000" w:space="0" w:sz="4" w:val="single"/>
              <w:bottom w:color="000000" w:space="0" w:sz="4" w:val="single"/>
            </w:tcBorders>
          </w:tcPr>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Más de 10 clases de análisis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15</w:t>
            </w:r>
          </w:p>
        </w:tc>
      </w:tr>
    </w:tbl>
    <w:p w:rsidR="00000000" w:rsidDel="00000000" w:rsidP="00000000" w:rsidRDefault="00000000" w:rsidRPr="00000000" w14:paraId="00000090">
      <w:pPr>
        <w:ind w:left="0" w:firstLine="0"/>
        <w:rPr/>
      </w:pPr>
      <w:r w:rsidDel="00000000" w:rsidR="00000000" w:rsidRPr="00000000">
        <w:rPr>
          <w:rtl w:val="0"/>
        </w:rPr>
      </w:r>
    </w:p>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 continuación se debe determinar de qué tipo es cada caso de uso.</w:t>
      </w:r>
    </w:p>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 cuenta </w:t>
      </w:r>
      <w:r w:rsidDel="00000000" w:rsidR="00000000" w:rsidRPr="00000000">
        <w:rPr>
          <w:rtl w:val="0"/>
        </w:rPr>
        <w:t xml:space="preserve">cuántos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casos de uso de cada tipo se tienen.</w:t>
      </w:r>
    </w:p>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 multiplica la cantidad de cada tipo por el factor</w:t>
      </w:r>
    </w:p>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Finalmente, se suman </w:t>
      </w:r>
      <w:r w:rsidDel="00000000" w:rsidR="00000000" w:rsidRPr="00000000">
        <w:rPr>
          <w:rtl w:val="0"/>
        </w:rPr>
        <w:t xml:space="preserve">estos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productos para obtener el total.</w:t>
      </w:r>
    </w:p>
    <w:p w:rsidR="00000000" w:rsidDel="00000000" w:rsidP="00000000" w:rsidRDefault="00000000" w:rsidRPr="00000000" w14:paraId="00000095">
      <w:pPr>
        <w:rPr/>
      </w:pPr>
      <w:r w:rsidDel="00000000" w:rsidR="00000000" w:rsidRPr="00000000">
        <w:rPr>
          <w:rtl w:val="0"/>
        </w:rPr>
      </w:r>
    </w:p>
    <w:p w:rsidR="00000000" w:rsidDel="00000000" w:rsidP="00000000" w:rsidRDefault="00000000" w:rsidRPr="00000000" w14:paraId="00000096">
      <w:pPr>
        <w:pStyle w:val="Heading3"/>
        <w:keepNext w:val="1"/>
        <w:keepLines w:val="1"/>
        <w:rPr>
          <w:vertAlign w:val="baseline"/>
        </w:rPr>
      </w:pPr>
      <w:bookmarkStart w:colFirst="0" w:colLast="0" w:name="_80j5ip3d3wu5" w:id="13"/>
      <w:bookmarkEnd w:id="13"/>
      <w:r w:rsidDel="00000000" w:rsidR="00000000" w:rsidRPr="00000000">
        <w:rPr>
          <w:vertAlign w:val="baseline"/>
          <w:rtl w:val="0"/>
        </w:rPr>
        <w:t xml:space="preserve">Cálculo de los Puntos de Casos de Uso sin Ajustar (UUCP)</w:t>
      </w:r>
    </w:p>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(Obtenido a través de uno de los dos mecanismos mencionados).</w:t>
      </w:r>
    </w:p>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UUCP = UAW + UUCW</w:t>
      </w:r>
    </w:p>
    <w:p w:rsidR="00000000" w:rsidDel="00000000" w:rsidP="00000000" w:rsidRDefault="00000000" w:rsidRPr="00000000" w14:paraId="00000099">
      <w:pPr>
        <w:rPr/>
      </w:pPr>
      <w:r w:rsidDel="00000000" w:rsidR="00000000" w:rsidRPr="00000000">
        <w:rPr>
          <w:rtl w:val="0"/>
        </w:rPr>
      </w:r>
    </w:p>
    <w:p w:rsidR="00000000" w:rsidDel="00000000" w:rsidP="00000000" w:rsidRDefault="00000000" w:rsidRPr="00000000" w14:paraId="0000009A">
      <w:pPr>
        <w:pStyle w:val="Heading2"/>
        <w:keepNext w:val="1"/>
        <w:keepLines w:val="1"/>
        <w:rPr>
          <w:vertAlign w:val="baseline"/>
        </w:rPr>
      </w:pPr>
      <w:bookmarkStart w:colFirst="0" w:colLast="0" w:name="_6ss6fvj354d8" w:id="14"/>
      <w:bookmarkEnd w:id="14"/>
      <w:r w:rsidDel="00000000" w:rsidR="00000000" w:rsidRPr="00000000">
        <w:rPr>
          <w:vertAlign w:val="baseline"/>
          <w:rtl w:val="0"/>
        </w:rPr>
        <w:t xml:space="preserve">Puntos de Casos de Uso Ajustados</w:t>
      </w:r>
    </w:p>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Este método incorpora factores técnicos y del entorno, de manera de obtener una estimación más adecuada para el tipo de sistema a desarrollar.</w:t>
      </w:r>
    </w:p>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9D">
      <w:pPr>
        <w:rPr>
          <w:rFonts w:ascii="Cambria" w:cs="Cambria" w:eastAsia="Cambria" w:hAnsi="Cambria"/>
          <w:b w:val="1"/>
          <w:bCs w:val="1"/>
          <w:color w:val="4f81bd"/>
        </w:rPr>
      </w:pPr>
      <w:bookmarkStart w:colFirst="0" w:colLast="0" w:name="_c2acmpgqrzbs" w:id="15"/>
      <w:bookmarkEnd w:id="15"/>
      <w:r w:rsidDel="00000000" w:rsidR="00000000" w:rsidRPr="00000000">
        <w:br w:type="page"/>
      </w:r>
      <w:r w:rsidDel="00000000" w:rsidR="00000000" w:rsidRPr="00000000">
        <w:rPr>
          <w:rtl w:val="0"/>
        </w:rPr>
      </w:r>
    </w:p>
    <w:p w:rsidR="00000000" w:rsidDel="00000000" w:rsidP="00000000" w:rsidRDefault="00000000" w:rsidRPr="00000000" w14:paraId="0000009E">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2"/>
          <w:szCs w:val="22"/>
          <w:u w:val="none"/>
          <w:shd w:fill="auto" w:val="clear"/>
          <w:vertAlign w:val="baseline"/>
        </w:rPr>
      </w:pPr>
      <w:bookmarkStart w:colFirst="0" w:colLast="0" w:name="_uliyan3ksajr" w:id="16"/>
      <w:bookmarkEnd w:id="16"/>
      <w:r w:rsidDel="00000000" w:rsidR="00000000" w:rsidRPr="00000000">
        <w:rPr>
          <w:rFonts w:ascii="Cambria" w:cs="Cambria" w:eastAsia="Cambria" w:hAnsi="Cambria"/>
          <w:b w:val="1"/>
          <w:bCs w:val="1"/>
          <w:i w:val="0"/>
          <w:iCs w:val="0"/>
          <w:smallCaps w:val="0"/>
          <w:strike w:val="0"/>
          <w:color w:val="4f81bd"/>
          <w:sz w:val="22"/>
          <w:szCs w:val="22"/>
          <w:u w:val="none"/>
          <w:shd w:fill="auto" w:val="clear"/>
          <w:vertAlign w:val="baseline"/>
          <w:rtl w:val="0"/>
        </w:rPr>
        <w:t xml:space="preserve">Factores Técnicos</w:t>
      </w:r>
    </w:p>
    <w:p w:rsidR="00000000" w:rsidDel="00000000" w:rsidP="00000000" w:rsidRDefault="00000000" w:rsidRPr="00000000" w14:paraId="0000009F">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bCs w:val="1"/>
          <w:i w:val="1"/>
          <w:iCs w:val="1"/>
          <w:smallCaps w:val="0"/>
          <w:strike w:val="0"/>
          <w:color w:val="4f81bd"/>
          <w:sz w:val="22"/>
          <w:szCs w:val="22"/>
          <w:u w:val="none"/>
          <w:shd w:fill="auto" w:val="clear"/>
          <w:vertAlign w:val="baseline"/>
        </w:rPr>
      </w:pPr>
      <w:bookmarkStart w:colFirst="0" w:colLast="0" w:name="_cynqlbi4fugp" w:id="17"/>
      <w:bookmarkEnd w:id="17"/>
      <w:r w:rsidDel="00000000" w:rsidR="00000000" w:rsidRPr="00000000">
        <w:rPr>
          <w:rFonts w:ascii="Cambria" w:cs="Cambria" w:eastAsia="Cambria" w:hAnsi="Cambria"/>
          <w:b w:val="1"/>
          <w:bCs w:val="1"/>
          <w:i w:val="1"/>
          <w:iCs w:val="1"/>
          <w:smallCaps w:val="0"/>
          <w:strike w:val="0"/>
          <w:color w:val="4f81bd"/>
          <w:sz w:val="22"/>
          <w:szCs w:val="22"/>
          <w:u w:val="none"/>
          <w:shd w:fill="auto" w:val="clear"/>
          <w:vertAlign w:val="baseline"/>
          <w:rtl w:val="0"/>
        </w:rPr>
        <w:t xml:space="preserve">Referencias</w:t>
      </w:r>
    </w:p>
    <w:p w:rsidR="00000000" w:rsidDel="00000000" w:rsidP="00000000" w:rsidRDefault="00000000" w:rsidRPr="00000000" w14:paraId="000000A0">
      <w:pPr>
        <w:rPr/>
      </w:pPr>
      <w:r w:rsidDel="00000000" w:rsidR="00000000" w:rsidRPr="00000000">
        <w:rPr>
          <w:rtl w:val="0"/>
        </w:rPr>
      </w:r>
    </w:p>
    <w:tbl>
      <w:tblPr>
        <w:tblStyle w:val="Table5"/>
        <w:tblW w:w="6251.999999999999" w:type="dxa"/>
        <w:jc w:val="center"/>
        <w:tblLayout w:type="fixed"/>
        <w:tblLook w:val="0000"/>
      </w:tblPr>
      <w:tblGrid>
        <w:gridCol w:w="1606"/>
        <w:gridCol w:w="3842"/>
        <w:gridCol w:w="804"/>
        <w:tblGridChange w:id="0">
          <w:tblGrid>
            <w:gridCol w:w="1606"/>
            <w:gridCol w:w="3842"/>
            <w:gridCol w:w="804"/>
          </w:tblGrid>
        </w:tblGridChange>
      </w:tblGrid>
      <w:tr>
        <w:trPr>
          <w:cantSplit w:val="0"/>
          <w:tblHeader w:val="1"/>
        </w:trPr>
        <w:tc>
          <w:tcPr>
            <w:tcBorders>
              <w:top w:color="000000" w:space="0" w:sz="4" w:val="single"/>
              <w:left w:color="000000" w:space="0" w:sz="4" w:val="single"/>
              <w:bottom w:color="000000" w:space="0" w:sz="4" w:val="single"/>
            </w:tcBorders>
            <w:shd w:fill="e6e6e6" w:val="clear"/>
            <w:vAlign w:val="center"/>
          </w:tcPr>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Factor Técnico</w:t>
            </w:r>
          </w:p>
        </w:tc>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Descripción</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Peso</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T1</w:t>
            </w:r>
          </w:p>
        </w:tc>
        <w:tc>
          <w:tcPr>
            <w:tcBorders>
              <w:left w:color="000000" w:space="0" w:sz="4" w:val="single"/>
              <w:bottom w:color="000000" w:space="0" w:sz="4" w:val="single"/>
            </w:tcBorders>
          </w:tcPr>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Sistema Distribuido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T2</w:t>
            </w:r>
          </w:p>
        </w:tc>
        <w:tc>
          <w:tcPr>
            <w:tcBorders>
              <w:left w:color="000000" w:space="0" w:sz="4" w:val="single"/>
              <w:bottom w:color="000000" w:space="0" w:sz="4" w:val="single"/>
            </w:tcBorders>
          </w:tcPr>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Objetivos de alta performance</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A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T3</w:t>
            </w:r>
          </w:p>
        </w:tc>
        <w:tc>
          <w:tcPr>
            <w:tcBorders>
              <w:left w:color="000000" w:space="0" w:sz="4" w:val="single"/>
              <w:bottom w:color="000000" w:space="0" w:sz="4" w:val="single"/>
            </w:tcBorders>
          </w:tcPr>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Eficiencia para el usuario final</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T4</w:t>
            </w:r>
          </w:p>
        </w:tc>
        <w:tc>
          <w:tcPr>
            <w:tcBorders>
              <w:left w:color="000000" w:space="0" w:sz="4" w:val="single"/>
              <w:bottom w:color="000000" w:space="0" w:sz="4" w:val="single"/>
            </w:tcBorders>
          </w:tcPr>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Procesamiento interno complejo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T5</w:t>
            </w:r>
          </w:p>
        </w:tc>
        <w:tc>
          <w:tcPr>
            <w:tcBorders>
              <w:left w:color="000000" w:space="0" w:sz="4" w:val="single"/>
              <w:bottom w:color="000000" w:space="0" w:sz="4" w:val="single"/>
            </w:tcBorders>
          </w:tcPr>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El código debe ser reusable</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T6</w:t>
            </w:r>
          </w:p>
        </w:tc>
        <w:tc>
          <w:tcPr>
            <w:tcBorders>
              <w:left w:color="000000" w:space="0" w:sz="4" w:val="single"/>
              <w:bottom w:color="000000" w:space="0" w:sz="4" w:val="single"/>
            </w:tcBorders>
          </w:tcPr>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Facilidad de instalación</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0,5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T7</w:t>
            </w:r>
          </w:p>
        </w:tc>
        <w:tc>
          <w:tcPr>
            <w:tcBorders>
              <w:left w:color="000000" w:space="0" w:sz="4" w:val="single"/>
              <w:bottom w:color="000000" w:space="0" w:sz="4" w:val="single"/>
            </w:tcBorders>
          </w:tcPr>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Facilidad de uso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0,5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T8</w:t>
            </w:r>
          </w:p>
        </w:tc>
        <w:tc>
          <w:tcPr>
            <w:tcBorders>
              <w:left w:color="000000" w:space="0" w:sz="4" w:val="single"/>
              <w:bottom w:color="000000" w:space="0" w:sz="4" w:val="single"/>
            </w:tcBorders>
          </w:tcPr>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Portabilidad</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T9</w:t>
            </w:r>
          </w:p>
        </w:tc>
        <w:tc>
          <w:tcPr>
            <w:tcBorders>
              <w:left w:color="000000" w:space="0" w:sz="4" w:val="single"/>
              <w:bottom w:color="000000" w:space="0" w:sz="4" w:val="single"/>
            </w:tcBorders>
          </w:tcPr>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Facilidad al cambio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T10</w:t>
            </w:r>
          </w:p>
        </w:tc>
        <w:tc>
          <w:tcPr>
            <w:tcBorders>
              <w:left w:color="000000" w:space="0" w:sz="4" w:val="single"/>
              <w:bottom w:color="000000" w:space="0" w:sz="4" w:val="single"/>
            </w:tcBorders>
          </w:tcPr>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Concurrencia</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T11</w:t>
            </w:r>
          </w:p>
        </w:tc>
        <w:tc>
          <w:tcPr>
            <w:tcBorders>
              <w:left w:color="000000" w:space="0" w:sz="4" w:val="single"/>
              <w:bottom w:color="000000" w:space="0" w:sz="4" w:val="single"/>
            </w:tcBorders>
          </w:tcPr>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Incluye características especiales de seguridad</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T12</w:t>
            </w:r>
          </w:p>
        </w:tc>
        <w:tc>
          <w:tcPr>
            <w:tcBorders>
              <w:left w:color="000000" w:space="0" w:sz="4" w:val="single"/>
              <w:bottom w:color="000000" w:space="0" w:sz="4" w:val="single"/>
            </w:tcBorders>
          </w:tcPr>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Provee acceso directo tripartito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T13</w:t>
            </w:r>
          </w:p>
        </w:tc>
        <w:tc>
          <w:tcPr>
            <w:tcBorders>
              <w:left w:color="000000" w:space="0" w:sz="4" w:val="single"/>
              <w:bottom w:color="000000" w:space="0" w:sz="4" w:val="single"/>
            </w:tcBorders>
          </w:tcPr>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Entrenamiento de usuarios especial</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r>
    </w:tbl>
    <w:p w:rsidR="00000000" w:rsidDel="00000000" w:rsidP="00000000" w:rsidRDefault="00000000" w:rsidRPr="00000000" w14:paraId="000000CB">
      <w:pPr>
        <w:ind w:left="0" w:firstLine="0"/>
        <w:rPr/>
      </w:pPr>
      <w:r w:rsidDel="00000000" w:rsidR="00000000" w:rsidRPr="00000000">
        <w:rPr>
          <w:rtl w:val="0"/>
        </w:rPr>
      </w:r>
    </w:p>
    <w:p w:rsidR="00000000" w:rsidDel="00000000" w:rsidP="00000000" w:rsidRDefault="00000000" w:rsidRPr="00000000" w14:paraId="000000CC">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bCs w:val="1"/>
          <w:i w:val="1"/>
          <w:iCs w:val="1"/>
          <w:smallCaps w:val="0"/>
          <w:strike w:val="0"/>
          <w:color w:val="4f81bd"/>
          <w:sz w:val="22"/>
          <w:szCs w:val="22"/>
          <w:u w:val="none"/>
          <w:shd w:fill="auto" w:val="clear"/>
          <w:vertAlign w:val="baseline"/>
        </w:rPr>
      </w:pPr>
      <w:bookmarkStart w:colFirst="0" w:colLast="0" w:name="_2vwl2pemfu3b" w:id="18"/>
      <w:bookmarkEnd w:id="18"/>
      <w:r w:rsidDel="00000000" w:rsidR="00000000" w:rsidRPr="00000000">
        <w:rPr>
          <w:rFonts w:ascii="Cambria" w:cs="Cambria" w:eastAsia="Cambria" w:hAnsi="Cambria"/>
          <w:b w:val="1"/>
          <w:bCs w:val="1"/>
          <w:i w:val="1"/>
          <w:iCs w:val="1"/>
          <w:smallCaps w:val="0"/>
          <w:strike w:val="0"/>
          <w:color w:val="4f81bd"/>
          <w:sz w:val="22"/>
          <w:szCs w:val="22"/>
          <w:u w:val="none"/>
          <w:shd w:fill="auto" w:val="clear"/>
          <w:vertAlign w:val="baseline"/>
          <w:rtl w:val="0"/>
        </w:rPr>
        <w:t xml:space="preserve">Peso de los factores técnicos (Tfactor)</w:t>
      </w:r>
    </w:p>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En base a la tabla anterior, calificar cada ítem de 0 a 5, en donde:</w:t>
      </w:r>
    </w:p>
    <w:p w:rsidR="00000000" w:rsidDel="00000000" w:rsidP="00000000" w:rsidRDefault="00000000" w:rsidRPr="00000000" w14:paraId="000000CE">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Un puntaje de 0 significa que el factor es irrelevante</w:t>
      </w:r>
    </w:p>
    <w:p w:rsidR="00000000" w:rsidDel="00000000" w:rsidP="00000000" w:rsidRDefault="00000000" w:rsidRPr="00000000" w14:paraId="000000CF">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Un puntaje de 5 significa que el factor es esencial</w:t>
      </w:r>
    </w:p>
    <w:p w:rsidR="00000000" w:rsidDel="00000000" w:rsidP="00000000" w:rsidRDefault="00000000" w:rsidRPr="00000000" w14:paraId="000000D0">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Un puntaje de 3 significa que el factor es promedio</w:t>
      </w:r>
    </w:p>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 multiplica cada factor por su calificación.</w:t>
      </w:r>
    </w:p>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 suman estos productos para obtener el total TFactor</w:t>
      </w:r>
    </w:p>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Para obtener la valoración final, se utiliza la siguiente fórmula:</w:t>
      </w:r>
    </w:p>
    <w:p w:rsidR="00000000" w:rsidDel="00000000" w:rsidP="00000000" w:rsidRDefault="00000000" w:rsidRPr="00000000" w14:paraId="000000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TCF = 0,6 + (0,01 * TFactor)</w:t>
      </w:r>
    </w:p>
    <w:p w:rsidR="00000000" w:rsidDel="00000000" w:rsidP="00000000" w:rsidRDefault="00000000" w:rsidRPr="00000000" w14:paraId="000000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D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2"/>
          <w:szCs w:val="22"/>
          <w:u w:val="none"/>
          <w:shd w:fill="auto" w:val="clear"/>
          <w:vertAlign w:val="baseline"/>
        </w:rPr>
      </w:pPr>
      <w:bookmarkStart w:colFirst="0" w:colLast="0" w:name="_xee5r4f9jzgu" w:id="19"/>
      <w:bookmarkEnd w:id="19"/>
      <w:r w:rsidDel="00000000" w:rsidR="00000000" w:rsidRPr="00000000">
        <w:rPr>
          <w:rFonts w:ascii="Cambria" w:cs="Cambria" w:eastAsia="Cambria" w:hAnsi="Cambria"/>
          <w:b w:val="1"/>
          <w:bCs w:val="1"/>
          <w:i w:val="0"/>
          <w:iCs w:val="0"/>
          <w:smallCaps w:val="0"/>
          <w:strike w:val="0"/>
          <w:color w:val="4f81bd"/>
          <w:sz w:val="22"/>
          <w:szCs w:val="22"/>
          <w:u w:val="none"/>
          <w:shd w:fill="auto" w:val="clear"/>
          <w:vertAlign w:val="baseline"/>
          <w:rtl w:val="0"/>
        </w:rPr>
        <w:t xml:space="preserve">Factores del entorno</w:t>
      </w:r>
    </w:p>
    <w:p w:rsidR="00000000" w:rsidDel="00000000" w:rsidP="00000000" w:rsidRDefault="00000000" w:rsidRPr="00000000" w14:paraId="000000D8">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bCs w:val="1"/>
          <w:i w:val="1"/>
          <w:iCs w:val="1"/>
          <w:smallCaps w:val="0"/>
          <w:strike w:val="0"/>
          <w:color w:val="4f81bd"/>
          <w:sz w:val="22"/>
          <w:szCs w:val="22"/>
          <w:u w:val="none"/>
          <w:shd w:fill="auto" w:val="clear"/>
          <w:vertAlign w:val="baseline"/>
        </w:rPr>
      </w:pPr>
      <w:bookmarkStart w:colFirst="0" w:colLast="0" w:name="_eqha3hzx76i" w:id="20"/>
      <w:bookmarkEnd w:id="20"/>
      <w:r w:rsidDel="00000000" w:rsidR="00000000" w:rsidRPr="00000000">
        <w:rPr>
          <w:rFonts w:ascii="Cambria" w:cs="Cambria" w:eastAsia="Cambria" w:hAnsi="Cambria"/>
          <w:b w:val="1"/>
          <w:bCs w:val="1"/>
          <w:i w:val="1"/>
          <w:iCs w:val="1"/>
          <w:smallCaps w:val="0"/>
          <w:strike w:val="0"/>
          <w:color w:val="4f81bd"/>
          <w:sz w:val="22"/>
          <w:szCs w:val="22"/>
          <w:u w:val="none"/>
          <w:shd w:fill="auto" w:val="clear"/>
          <w:vertAlign w:val="baseline"/>
          <w:rtl w:val="0"/>
        </w:rPr>
        <w:t xml:space="preserve">Referencias</w:t>
      </w:r>
    </w:p>
    <w:p w:rsidR="00000000" w:rsidDel="00000000" w:rsidP="00000000" w:rsidRDefault="00000000" w:rsidRPr="00000000" w14:paraId="000000D9">
      <w:pPr>
        <w:rPr/>
      </w:pPr>
      <w:r w:rsidDel="00000000" w:rsidR="00000000" w:rsidRPr="00000000">
        <w:rPr>
          <w:rtl w:val="0"/>
        </w:rPr>
      </w:r>
    </w:p>
    <w:tbl>
      <w:tblPr>
        <w:tblStyle w:val="Table6"/>
        <w:tblW w:w="7082.0" w:type="dxa"/>
        <w:jc w:val="left"/>
        <w:tblInd w:w="851.0" w:type="dxa"/>
        <w:tblLayout w:type="fixed"/>
        <w:tblLook w:val="0000"/>
      </w:tblPr>
      <w:tblGrid>
        <w:gridCol w:w="2126"/>
        <w:gridCol w:w="4030"/>
        <w:gridCol w:w="926"/>
        <w:tblGridChange w:id="0">
          <w:tblGrid>
            <w:gridCol w:w="2126"/>
            <w:gridCol w:w="4030"/>
            <w:gridCol w:w="926"/>
          </w:tblGrid>
        </w:tblGridChange>
      </w:tblGrid>
      <w:tr>
        <w:trPr>
          <w:cantSplit w:val="0"/>
          <w:tblHeader w:val="1"/>
        </w:trPr>
        <w:tc>
          <w:tcPr>
            <w:tcBorders>
              <w:top w:color="000000" w:space="0" w:sz="4" w:val="single"/>
              <w:left w:color="000000" w:space="0" w:sz="4" w:val="single"/>
              <w:bottom w:color="000000" w:space="0" w:sz="4" w:val="single"/>
            </w:tcBorders>
            <w:shd w:fill="e6e6e6" w:val="clear"/>
            <w:vAlign w:val="center"/>
          </w:tcPr>
          <w:p w:rsidR="00000000" w:rsidDel="00000000" w:rsidP="00000000" w:rsidRDefault="00000000" w:rsidRPr="00000000" w14:paraId="000000D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Factor del Entorno</w:t>
            </w:r>
          </w:p>
        </w:tc>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D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Descripción</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Peso</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D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E1</w:t>
            </w:r>
          </w:p>
        </w:tc>
        <w:tc>
          <w:tcPr>
            <w:tcBorders>
              <w:left w:color="000000" w:space="0" w:sz="4" w:val="single"/>
              <w:bottom w:color="000000" w:space="0" w:sz="4" w:val="single"/>
            </w:tcBorders>
          </w:tcPr>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Experiencia en el uso de RUP</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D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E2</w:t>
            </w:r>
          </w:p>
        </w:tc>
        <w:tc>
          <w:tcPr>
            <w:tcBorders>
              <w:left w:color="000000" w:space="0" w:sz="4" w:val="single"/>
              <w:bottom w:color="000000" w:space="0" w:sz="4" w:val="single"/>
            </w:tcBorders>
          </w:tcPr>
          <w:p w:rsidR="00000000" w:rsidDel="00000000" w:rsidP="00000000" w:rsidRDefault="00000000" w:rsidRPr="00000000" w14:paraId="000000E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Experiencia en la aplicación</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0,5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E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E3</w:t>
            </w:r>
          </w:p>
        </w:tc>
        <w:tc>
          <w:tcPr>
            <w:tcBorders>
              <w:left w:color="000000" w:space="0" w:sz="4" w:val="single"/>
              <w:bottom w:color="000000" w:space="0" w:sz="4" w:val="single"/>
            </w:tcBorders>
          </w:tcPr>
          <w:p w:rsidR="00000000" w:rsidDel="00000000" w:rsidP="00000000" w:rsidRDefault="00000000" w:rsidRPr="00000000" w14:paraId="000000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Experiencia en el desarrollo Orientado a Objetos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E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E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E4</w:t>
            </w:r>
          </w:p>
        </w:tc>
        <w:tc>
          <w:tcPr>
            <w:tcBorders>
              <w:left w:color="000000" w:space="0" w:sz="4" w:val="single"/>
              <w:bottom w:color="000000" w:space="0" w:sz="4" w:val="single"/>
            </w:tcBorders>
          </w:tcPr>
          <w:p w:rsidR="00000000" w:rsidDel="00000000" w:rsidP="00000000" w:rsidRDefault="00000000" w:rsidRPr="00000000" w14:paraId="000000E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Capacidad del Líder</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E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0,5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E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E5</w:t>
            </w:r>
          </w:p>
        </w:tc>
        <w:tc>
          <w:tcPr>
            <w:tcBorders>
              <w:left w:color="000000" w:space="0" w:sz="4" w:val="single"/>
              <w:bottom w:color="000000" w:space="0" w:sz="4" w:val="single"/>
            </w:tcBorders>
          </w:tcPr>
          <w:p w:rsidR="00000000" w:rsidDel="00000000" w:rsidP="00000000" w:rsidRDefault="00000000" w:rsidRPr="00000000" w14:paraId="000000E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Motivación</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E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E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E6</w:t>
            </w:r>
          </w:p>
        </w:tc>
        <w:tc>
          <w:tcPr>
            <w:tcBorders>
              <w:left w:color="000000" w:space="0" w:sz="4" w:val="single"/>
              <w:bottom w:color="000000" w:space="0" w:sz="4" w:val="single"/>
            </w:tcBorders>
          </w:tcPr>
          <w:p w:rsidR="00000000" w:rsidDel="00000000" w:rsidP="00000000" w:rsidRDefault="00000000" w:rsidRPr="00000000" w14:paraId="000000E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Requisitos estables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E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E7</w:t>
            </w:r>
          </w:p>
        </w:tc>
        <w:tc>
          <w:tcPr>
            <w:tcBorders>
              <w:left w:color="000000" w:space="0" w:sz="4" w:val="single"/>
              <w:bottom w:color="000000" w:space="0" w:sz="4" w:val="single"/>
            </w:tcBorders>
          </w:tcPr>
          <w:p w:rsidR="00000000" w:rsidDel="00000000" w:rsidP="00000000" w:rsidRDefault="00000000" w:rsidRPr="00000000" w14:paraId="000000F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Trabajadores part-time</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F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E8</w:t>
            </w:r>
          </w:p>
        </w:tc>
        <w:tc>
          <w:tcPr>
            <w:tcBorders>
              <w:left w:color="000000" w:space="0" w:sz="4" w:val="single"/>
              <w:bottom w:color="000000" w:space="0" w:sz="4" w:val="single"/>
            </w:tcBorders>
          </w:tcPr>
          <w:p w:rsidR="00000000" w:rsidDel="00000000" w:rsidP="00000000" w:rsidRDefault="00000000" w:rsidRPr="00000000" w14:paraId="000000F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Dificultades en el lenguaje de programación</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r>
    </w:tbl>
    <w:p w:rsidR="00000000" w:rsidDel="00000000" w:rsidP="00000000" w:rsidRDefault="00000000" w:rsidRPr="00000000" w14:paraId="000000F5">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bCs w:val="1"/>
          <w:i w:val="1"/>
          <w:iCs w:val="1"/>
          <w:smallCaps w:val="0"/>
          <w:strike w:val="0"/>
          <w:color w:val="4f81bd"/>
          <w:sz w:val="22"/>
          <w:szCs w:val="22"/>
          <w:u w:val="none"/>
          <w:shd w:fill="auto" w:val="clear"/>
          <w:vertAlign w:val="baseline"/>
        </w:rPr>
      </w:pPr>
      <w:bookmarkStart w:colFirst="0" w:colLast="0" w:name="_f7dflbrt43k1" w:id="21"/>
      <w:bookmarkEnd w:id="21"/>
      <w:r w:rsidDel="00000000" w:rsidR="00000000" w:rsidRPr="00000000">
        <w:rPr>
          <w:rFonts w:ascii="Cambria" w:cs="Cambria" w:eastAsia="Cambria" w:hAnsi="Cambria"/>
          <w:b w:val="1"/>
          <w:bCs w:val="1"/>
          <w:i w:val="1"/>
          <w:iCs w:val="1"/>
          <w:smallCaps w:val="0"/>
          <w:strike w:val="0"/>
          <w:color w:val="4f81bd"/>
          <w:sz w:val="22"/>
          <w:szCs w:val="22"/>
          <w:u w:val="none"/>
          <w:shd w:fill="auto" w:val="clear"/>
          <w:vertAlign w:val="baseline"/>
          <w:rtl w:val="0"/>
        </w:rPr>
        <w:br w:type="textWrapping"/>
        <w:t xml:space="preserve">Peso de los factores del entorno (EF)</w:t>
      </w:r>
    </w:p>
    <w:p w:rsidR="00000000" w:rsidDel="00000000" w:rsidP="00000000" w:rsidRDefault="00000000" w:rsidRPr="00000000" w14:paraId="000000F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En base a la tabla anterior, calificar cada ítem de 0 a 5, de acuerdo a lo siguiente:</w:t>
      </w:r>
    </w:p>
    <w:p w:rsidR="00000000" w:rsidDel="00000000" w:rsidP="00000000" w:rsidRDefault="00000000" w:rsidRPr="00000000" w14:paraId="000000F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Para los factores E1 a E4</w:t>
      </w:r>
    </w:p>
    <w:p w:rsidR="00000000" w:rsidDel="00000000" w:rsidP="00000000" w:rsidRDefault="00000000" w:rsidRPr="00000000" w14:paraId="000000F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Un puntaje de 0 significa que no hay experiencia en ese punto</w:t>
      </w:r>
    </w:p>
    <w:p w:rsidR="00000000" w:rsidDel="00000000" w:rsidP="00000000" w:rsidRDefault="00000000" w:rsidRPr="00000000" w14:paraId="000000F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Un puntaje de 5 significa experto</w:t>
      </w:r>
    </w:p>
    <w:p w:rsidR="00000000" w:rsidDel="00000000" w:rsidP="00000000" w:rsidRDefault="00000000" w:rsidRPr="00000000" w14:paraId="000000F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Un puntaje de 3 significa promedio</w:t>
      </w:r>
    </w:p>
    <w:p w:rsidR="00000000" w:rsidDel="00000000" w:rsidP="00000000" w:rsidRDefault="00000000" w:rsidRPr="00000000" w14:paraId="000000F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F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Para el factor E5 (Motivación)</w:t>
      </w:r>
    </w:p>
    <w:p w:rsidR="00000000" w:rsidDel="00000000" w:rsidP="00000000" w:rsidRDefault="00000000" w:rsidRPr="00000000" w14:paraId="000000F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Un puntaje de 0 significa que no hay motivación en el grupo de desarrollo</w:t>
      </w:r>
    </w:p>
    <w:p w:rsidR="00000000" w:rsidDel="00000000" w:rsidP="00000000" w:rsidRDefault="00000000" w:rsidRPr="00000000" w14:paraId="000000F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Un puntaje de 5 significa una alta motivación</w:t>
      </w:r>
    </w:p>
    <w:p w:rsidR="00000000" w:rsidDel="00000000" w:rsidP="00000000" w:rsidRDefault="00000000" w:rsidRPr="00000000" w14:paraId="000001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Para el factor E6 (Requisitos estables)</w:t>
      </w:r>
    </w:p>
    <w:p w:rsidR="00000000" w:rsidDel="00000000" w:rsidP="00000000" w:rsidRDefault="00000000" w:rsidRPr="00000000" w14:paraId="000001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Un puntaje de 0 significa requisitos extremadamente inestables</w:t>
      </w:r>
    </w:p>
    <w:p w:rsidR="00000000" w:rsidDel="00000000" w:rsidP="00000000" w:rsidRDefault="00000000" w:rsidRPr="00000000" w14:paraId="000001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Un puntaje de 5 significa requisitos sin cambios</w:t>
      </w:r>
    </w:p>
    <w:p w:rsidR="00000000" w:rsidDel="00000000" w:rsidP="00000000" w:rsidRDefault="00000000" w:rsidRPr="00000000" w14:paraId="000001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Para el factor E7 (Trabajadores part-time)</w:t>
      </w:r>
    </w:p>
    <w:p w:rsidR="00000000" w:rsidDel="00000000" w:rsidP="00000000" w:rsidRDefault="00000000" w:rsidRPr="00000000" w14:paraId="000001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Un puntaje de 0 significa que no hay trabajadores part-time</w:t>
      </w:r>
    </w:p>
    <w:p w:rsidR="00000000" w:rsidDel="00000000" w:rsidP="00000000" w:rsidRDefault="00000000" w:rsidRPr="00000000" w14:paraId="000001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Un puntaje de 5 significa que todos los trabajadores son part-time</w:t>
      </w:r>
    </w:p>
    <w:p w:rsidR="00000000" w:rsidDel="00000000" w:rsidP="00000000" w:rsidRDefault="00000000" w:rsidRPr="00000000" w14:paraId="000001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Para el factor E8 (Dificultades en el lenguaje de programación)</w:t>
      </w:r>
    </w:p>
    <w:p w:rsidR="00000000" w:rsidDel="00000000" w:rsidP="00000000" w:rsidRDefault="00000000" w:rsidRPr="00000000" w14:paraId="000001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Un puntaje de 0 significa que el lenguaje de programación es de uso sencillo</w:t>
      </w:r>
    </w:p>
    <w:p w:rsidR="00000000" w:rsidDel="00000000" w:rsidP="00000000" w:rsidRDefault="00000000" w:rsidRPr="00000000" w14:paraId="000001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Un puntaje de 5 significa que el lenguaje de programación presenta muchas dificultades</w:t>
      </w:r>
    </w:p>
    <w:p w:rsidR="00000000" w:rsidDel="00000000" w:rsidP="00000000" w:rsidRDefault="00000000" w:rsidRPr="00000000" w14:paraId="000001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 multiplica cada factor por su calificación.</w:t>
      </w:r>
    </w:p>
    <w:p w:rsidR="00000000" w:rsidDel="00000000" w:rsidP="00000000" w:rsidRDefault="00000000" w:rsidRPr="00000000" w14:paraId="000001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 suman estos productos para obtener el total EFactor</w:t>
      </w:r>
    </w:p>
    <w:p w:rsidR="00000000" w:rsidDel="00000000" w:rsidP="00000000" w:rsidRDefault="00000000" w:rsidRPr="00000000" w14:paraId="000001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Para obtener la valoración final, se utiliza la siguiente fórmula:</w:t>
      </w:r>
    </w:p>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EF = 1,4 + (- 0,03 * EFactor)</w:t>
      </w:r>
    </w:p>
    <w:p w:rsidR="00000000" w:rsidDel="00000000" w:rsidP="00000000" w:rsidRDefault="00000000" w:rsidRPr="00000000" w14:paraId="00000111">
      <w:pPr>
        <w:tabs>
          <w:tab w:val="left" w:leader="none" w:pos="0"/>
        </w:tabs>
        <w:spacing w:after="60" w:before="120" w:lineRule="auto"/>
        <w:rPr/>
      </w:pPr>
      <w:r w:rsidDel="00000000" w:rsidR="00000000" w:rsidRPr="00000000">
        <w:rPr>
          <w:rtl w:val="0"/>
        </w:rPr>
      </w:r>
    </w:p>
    <w:p w:rsidR="00000000" w:rsidDel="00000000" w:rsidP="00000000" w:rsidRDefault="00000000" w:rsidRPr="00000000" w14:paraId="00000112">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2"/>
          <w:szCs w:val="22"/>
          <w:u w:val="none"/>
          <w:shd w:fill="auto" w:val="clear"/>
          <w:vertAlign w:val="baseline"/>
        </w:rPr>
      </w:pPr>
      <w:bookmarkStart w:colFirst="0" w:colLast="0" w:name="_9g2gngg2nhp" w:id="22"/>
      <w:bookmarkEnd w:id="22"/>
      <w:r w:rsidDel="00000000" w:rsidR="00000000" w:rsidRPr="00000000">
        <w:rPr>
          <w:rFonts w:ascii="Cambria" w:cs="Cambria" w:eastAsia="Cambria" w:hAnsi="Cambria"/>
          <w:b w:val="1"/>
          <w:bCs w:val="1"/>
          <w:i w:val="0"/>
          <w:iCs w:val="0"/>
          <w:smallCaps w:val="0"/>
          <w:strike w:val="0"/>
          <w:color w:val="4f81bd"/>
          <w:sz w:val="22"/>
          <w:szCs w:val="22"/>
          <w:u w:val="none"/>
          <w:shd w:fill="auto" w:val="clear"/>
          <w:vertAlign w:val="baseline"/>
          <w:rtl w:val="0"/>
        </w:rPr>
        <w:t xml:space="preserve">Cálculo de Puntos de Casos de Uso Ajustados (UCP)</w:t>
      </w:r>
    </w:p>
    <w:p w:rsidR="00000000" w:rsidDel="00000000" w:rsidP="00000000" w:rsidRDefault="00000000" w:rsidRPr="00000000" w14:paraId="000001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Los puntos Casos de Uso Ajustados se obtienen de acuerdo a la siguiente fórmula:</w:t>
      </w:r>
    </w:p>
    <w:p w:rsidR="00000000" w:rsidDel="00000000" w:rsidP="00000000" w:rsidRDefault="00000000" w:rsidRPr="00000000" w14:paraId="000001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UCP = UUCP * TCF * EF</w:t>
      </w:r>
    </w:p>
    <w:p w:rsidR="00000000" w:rsidDel="00000000" w:rsidP="00000000" w:rsidRDefault="00000000" w:rsidRPr="00000000" w14:paraId="000001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16">
      <w:pPr>
        <w:ind w:left="0" w:firstLine="0"/>
        <w:rPr>
          <w:rFonts w:ascii="Cambria" w:cs="Cambria" w:eastAsia="Cambria" w:hAnsi="Cambria"/>
          <w:b w:val="1"/>
          <w:bCs w:val="1"/>
          <w:color w:val="4f81bd"/>
          <w:sz w:val="26"/>
          <w:szCs w:val="26"/>
        </w:rPr>
      </w:pPr>
      <w:bookmarkStart w:colFirst="0" w:colLast="0" w:name="_hnwt3646gopm" w:id="23"/>
      <w:bookmarkEnd w:id="23"/>
      <w:r w:rsidDel="00000000" w:rsidR="00000000" w:rsidRPr="00000000">
        <w:rPr>
          <w:rtl w:val="0"/>
        </w:rPr>
      </w:r>
    </w:p>
    <w:p w:rsidR="00000000" w:rsidDel="00000000" w:rsidP="00000000" w:rsidRDefault="00000000" w:rsidRPr="00000000" w14:paraId="0000011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af2jdcz4c8re" w:id="24"/>
      <w:bookmarkEnd w:id="24"/>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Estimación del número de Horas-Hombre</w:t>
      </w:r>
    </w:p>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En general, Karner sugiere utilizar 20 horas-hombre por UCP</w:t>
      </w:r>
    </w:p>
    <w:p w:rsidR="00000000" w:rsidDel="00000000" w:rsidP="00000000" w:rsidRDefault="00000000" w:rsidRPr="00000000" w14:paraId="000001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b w:val="1"/>
          <w:bCs w:val="1"/>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Total Hombres Hora = UCP * 20</w:t>
      </w:r>
      <w:r w:rsidDel="00000000" w:rsidR="00000000" w:rsidRPr="00000000">
        <w:rPr>
          <w:rtl w:val="0"/>
        </w:rPr>
      </w:r>
    </w:p>
    <w:p w:rsidR="00000000" w:rsidDel="00000000" w:rsidP="00000000" w:rsidRDefault="00000000" w:rsidRPr="00000000" w14:paraId="0000011A">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2nbsz3vf5n86" w:id="25"/>
      <w:bookmarkEnd w:id="25"/>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Estimación del número de Horas-Hombre refinado</w:t>
      </w:r>
    </w:p>
    <w:p w:rsidR="00000000" w:rsidDel="00000000" w:rsidP="00000000" w:rsidRDefault="00000000" w:rsidRPr="00000000" w14:paraId="000001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 sugiere además utilizar un método de refinamiento basado en los factores del entorno, basándose en las siguientes consideraciones:</w:t>
      </w:r>
    </w:p>
    <w:p w:rsidR="00000000" w:rsidDel="00000000" w:rsidP="00000000" w:rsidRDefault="00000000" w:rsidRPr="00000000" w14:paraId="000001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Los factores EF determinan </w:t>
      </w:r>
      <w:r w:rsidDel="00000000" w:rsidR="00000000" w:rsidRPr="00000000">
        <w:rPr>
          <w:rtl w:val="0"/>
        </w:rPr>
        <w:t xml:space="preserve">el nivel</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de experiencia del staff y la estabilidad del proyecto.</w:t>
      </w:r>
    </w:p>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Todos los valores negativos en esta área significan que se deberá utilizar tiempo para entrenamiento del personal o para solucionar problemas que se ocasionen.</w:t>
      </w:r>
    </w:p>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Para lo cual se realizará lo siguiente:</w:t>
      </w:r>
    </w:p>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Calcular cuántos factores del entorno de E1 a E6 poseen una valoración menor a 3, y </w:t>
      </w:r>
      <w:r w:rsidDel="00000000" w:rsidR="00000000" w:rsidRPr="00000000">
        <w:rPr>
          <w:rtl w:val="0"/>
        </w:rPr>
        <w:t xml:space="preserve">cuántos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de E7 a E8 están por encima de 3. </w:t>
      </w:r>
    </w:p>
    <w:p w:rsidR="00000000" w:rsidDel="00000000" w:rsidP="00000000" w:rsidRDefault="00000000" w:rsidRPr="00000000" w14:paraId="000001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La suma de ambos conteos brinda el valor TNEF, con el cual se puede ajustar la cantidad de horas-hombre a asignar para cada UCP. Este ajuste se realiza de la siguiente manera:</w:t>
      </w:r>
    </w:p>
    <w:p w:rsidR="00000000" w:rsidDel="00000000" w:rsidP="00000000" w:rsidRDefault="00000000" w:rsidRPr="00000000" w14:paraId="00000121">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20 horas-hombre por UCP cuando TNEF  &lt;= 2</w:t>
      </w:r>
    </w:p>
    <w:p w:rsidR="00000000" w:rsidDel="00000000" w:rsidP="00000000" w:rsidRDefault="00000000" w:rsidRPr="00000000" w14:paraId="00000122">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28 horas-hombre por UCP cuando  3 &gt;= TNEF &lt;= 4</w:t>
      </w:r>
    </w:p>
    <w:p w:rsidR="00000000" w:rsidDel="00000000" w:rsidP="00000000" w:rsidRDefault="00000000" w:rsidRPr="00000000" w14:paraId="00000123">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36 horas-hombre por UCP cuando TNEF &gt;= 4</w:t>
      </w:r>
    </w:p>
    <w:p w:rsidR="00000000" w:rsidDel="00000000" w:rsidP="00000000" w:rsidRDefault="00000000" w:rsidRPr="00000000" w14:paraId="000001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En este caso se recomienda considerar no avanzar con el proyecto.</w:t>
      </w:r>
    </w:p>
    <w:p w:rsidR="00000000" w:rsidDel="00000000" w:rsidP="00000000" w:rsidRDefault="00000000" w:rsidRPr="00000000" w14:paraId="00000125">
      <w:pPr>
        <w:rPr/>
      </w:pPr>
      <w:r w:rsidDel="00000000" w:rsidR="00000000" w:rsidRPr="00000000">
        <w:rPr>
          <w:rtl w:val="0"/>
        </w:rPr>
      </w:r>
    </w:p>
    <w:p w:rsidR="00000000" w:rsidDel="00000000" w:rsidP="00000000" w:rsidRDefault="00000000" w:rsidRPr="00000000" w14:paraId="00000126">
      <w:pPr>
        <w:rPr>
          <w:b w:val="1"/>
          <w:bCs w:val="1"/>
        </w:rPr>
      </w:pPr>
      <w:r w:rsidDel="00000000" w:rsidR="00000000" w:rsidRPr="00000000">
        <w:rPr>
          <w:b w:val="1"/>
          <w:bCs w:val="1"/>
          <w:rtl w:val="0"/>
        </w:rPr>
        <w:t xml:space="preserve">  </w:t>
      </w:r>
    </w:p>
    <w:p w:rsidR="00000000" w:rsidDel="00000000" w:rsidP="00000000" w:rsidRDefault="00000000" w:rsidRPr="00000000" w14:paraId="00000127">
      <w:pPr>
        <w:rPr>
          <w:b w:val="1"/>
          <w:bCs w:val="1"/>
        </w:rPr>
      </w:pPr>
      <w:r w:rsidDel="00000000" w:rsidR="00000000" w:rsidRPr="00000000">
        <w:rPr>
          <w:rtl w:val="0"/>
        </w:rPr>
      </w:r>
    </w:p>
    <w:p w:rsidR="00000000" w:rsidDel="00000000" w:rsidP="00000000" w:rsidRDefault="00000000" w:rsidRPr="00000000" w14:paraId="00000128">
      <w:pPr>
        <w:tabs>
          <w:tab w:val="left" w:leader="none" w:pos="0"/>
        </w:tabs>
        <w:rPr/>
      </w:pPr>
      <w:r w:rsidDel="00000000" w:rsidR="00000000" w:rsidRPr="00000000">
        <w:rPr>
          <w:rtl w:val="0"/>
        </w:rPr>
      </w:r>
    </w:p>
    <w:sectPr>
      <w:headerReference r:id="rId9" w:type="default"/>
      <w:footerReference r:id="rId10"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Times New Roman"/>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D">
    <w:pPr>
      <w:tabs>
        <w:tab w:val="center" w:leader="none" w:pos="4252"/>
      </w:tabs>
      <w:rPr/>
    </w:pPr>
    <w:r w:rsidDel="00000000" w:rsidR="00000000" w:rsidRPr="00000000">
      <w:rPr>
        <w:rtl w:val="0"/>
      </w:rPr>
      <w:t xml:space="preserve">NexTech</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9" name=""/>
              <a:graphic>
                <a:graphicData uri="http://schemas.microsoft.com/office/word/2010/wordprocessingShape">
                  <wps:wsp>
                    <wps:cNvSpPr/>
                    <wps:cNvPr id="11" name="Shape 11"/>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9"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8"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7" name="Shape 7"/>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8" name="Shape 8"/>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9" name="Shape 9"/>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8"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2" name=""/>
              <a:graphic>
                <a:graphicData uri="http://schemas.microsoft.com/office/word/2010/wordprocessingShape">
                  <wps:wsp>
                    <wps:cNvSpPr/>
                    <wps:cNvPr id="3" name="Shape 3"/>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2"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6" name=""/>
              <a:graphic>
                <a:graphicData uri="http://schemas.microsoft.com/office/word/2010/wordprocessingShape">
                  <wps:wsp>
                    <wps:cNvSpPr/>
                    <wps:cNvPr id="3" name="Shape 3"/>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6" name="image11.png"/>
              <a:graphic>
                <a:graphicData uri="http://schemas.openxmlformats.org/drawingml/2006/picture">
                  <pic:pic>
                    <pic:nvPicPr>
                      <pic:cNvPr id="0" name="image11.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p>
  <w:p w:rsidR="00000000" w:rsidDel="00000000" w:rsidP="00000000" w:rsidRDefault="00000000" w:rsidRPr="00000000" w14:paraId="0000012E">
    <w:pPr>
      <w:spacing w:before="0" w:line="240" w:lineRule="auto"/>
      <w:ind w:left="0"/>
      <w:rPr/>
    </w:pPr>
    <w:r w:rsidDel="00000000" w:rsidR="00000000" w:rsidRPr="00000000">
      <w:rPr>
        <w:rtl w:val="0"/>
      </w:rPr>
      <w:t xml:space="preserve">Centurión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1" distB="0" distT="0" distL="114300" distR="114300" hidden="0" layoutInCell="1" locked="0" relativeHeight="0" simplePos="0">
              <wp:simplePos x="0" y="0"/>
              <wp:positionH relativeFrom="page">
                <wp:posOffset>3338</wp:posOffset>
              </wp:positionH>
              <wp:positionV relativeFrom="page">
                <wp:posOffset>58355</wp:posOffset>
              </wp:positionV>
              <wp:extent cx="7549515" cy="815340"/>
              <wp:effectExtent b="0" l="0" r="0" t="0"/>
              <wp:wrapNone/>
              <wp:docPr id="11"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7" name="Shape 7"/>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4" name="Shape 14"/>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5" name="Shape 15"/>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page">
                <wp:posOffset>3338</wp:posOffset>
              </wp:positionH>
              <wp:positionV relativeFrom="page">
                <wp:posOffset>58355</wp:posOffset>
              </wp:positionV>
              <wp:extent cx="7549515" cy="815340"/>
              <wp:effectExtent b="0" l="0" r="0" t="0"/>
              <wp:wrapNone/>
              <wp:docPr id="11" name="image16.png"/>
              <a:graphic>
                <a:graphicData uri="http://schemas.openxmlformats.org/drawingml/2006/picture">
                  <pic:pic>
                    <pic:nvPicPr>
                      <pic:cNvPr id="0" name="image16.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tl w:val="0"/>
      </w:rPr>
      <w:t xml:space="preserve">Estudio de Mercado</w:t>
    </w:r>
  </w:p>
  <w:p w:rsidR="00000000" w:rsidDel="00000000" w:rsidP="00000000" w:rsidRDefault="00000000" w:rsidRPr="00000000" w14:paraId="0000012A">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5"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7" name="Shape 7"/>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8" name="Shape 8"/>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9" name="Shape 9"/>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5"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14" name="image1.png"/>
          <a:graphic>
            <a:graphicData uri="http://schemas.openxmlformats.org/drawingml/2006/picture">
              <pic:pic>
                <pic:nvPicPr>
                  <pic:cNvPr descr="psi-negro.png" id="0" name="image1.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8" name="image5.jpg"/>
          <a:graphic>
            <a:graphicData uri="http://schemas.openxmlformats.org/drawingml/2006/picture">
              <pic:pic>
                <pic:nvPicPr>
                  <pic:cNvPr descr="UNPA.JPG" id="0" name="image5.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0" name=""/>
              <a:graphic>
                <a:graphicData uri="http://schemas.microsoft.com/office/word/2010/wordprocessingShape">
                  <wps:wsp>
                    <wps:cNvSpPr/>
                    <wps:cNvPr id="12" name="Shape 12"/>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0" name="image15.png"/>
              <a:graphic>
                <a:graphicData uri="http://schemas.openxmlformats.org/drawingml/2006/picture">
                  <pic:pic>
                    <pic:nvPicPr>
                      <pic:cNvPr id="0" name="image15.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4" name=""/>
              <a:graphic>
                <a:graphicData uri="http://schemas.microsoft.com/office/word/2010/wordprocessingShape">
                  <wps:wsp>
                    <wps:cNvSpPr/>
                    <wps:cNvPr id="5" name="Shape 5"/>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4"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tab/>
    </w:r>
  </w:p>
  <w:p w:rsidR="00000000" w:rsidDel="00000000" w:rsidP="00000000" w:rsidRDefault="00000000" w:rsidRPr="00000000" w14:paraId="0000012B">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tl w:val="0"/>
      </w:rPr>
    </w:r>
  </w:p>
  <w:p w:rsidR="00000000" w:rsidDel="00000000" w:rsidP="00000000" w:rsidRDefault="00000000" w:rsidRPr="00000000" w14:paraId="0000012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60" w:before="120" w:lineRule="auto"/>
      <w:ind w:left="0"/>
    </w:pPr>
    <w:rPr>
      <w:rFonts w:ascii="Cambria" w:cs="Cambria" w:eastAsia="Cambria" w:hAnsi="Cambria"/>
      <w:b w:val="1"/>
      <w:bCs w:val="1"/>
      <w:color w:val="366091"/>
      <w:sz w:val="28"/>
      <w:szCs w:val="28"/>
    </w:rPr>
  </w:style>
  <w:style w:type="paragraph" w:styleId="Heading2">
    <w:name w:val="heading 2"/>
    <w:basedOn w:val="Normal"/>
    <w:next w:val="Normal"/>
    <w:pPr>
      <w:keepNext w:val="1"/>
      <w:keepLines w:val="1"/>
      <w:spacing w:after="60" w:before="120" w:lineRule="auto"/>
      <w:ind w:left="0"/>
    </w:pPr>
    <w:rPr>
      <w:rFonts w:ascii="Cambria" w:cs="Cambria" w:eastAsia="Cambria" w:hAnsi="Cambria"/>
      <w:b w:val="1"/>
      <w:bCs w:val="1"/>
      <w:color w:val="4f81bd"/>
      <w:sz w:val="26"/>
      <w:szCs w:val="26"/>
    </w:rPr>
  </w:style>
  <w:style w:type="paragraph" w:styleId="Heading3">
    <w:name w:val="heading 3"/>
    <w:basedOn w:val="Normal"/>
    <w:next w:val="Normal"/>
    <w:pPr>
      <w:keepNext w:val="1"/>
      <w:keepLines w:val="1"/>
    </w:pPr>
    <w:rPr>
      <w:rFonts w:ascii="Cambria" w:cs="Cambria" w:eastAsia="Cambria" w:hAnsi="Cambria"/>
      <w:b w:val="1"/>
      <w:bCs w:val="1"/>
      <w:color w:val="4f81bd"/>
    </w:rPr>
  </w:style>
  <w:style w:type="paragraph" w:styleId="Heading4">
    <w:name w:val="heading 4"/>
    <w:basedOn w:val="Normal"/>
    <w:next w:val="Normal"/>
    <w:pPr>
      <w:keepNext w:val="1"/>
      <w:keepLines w:val="1"/>
    </w:pPr>
    <w:rPr>
      <w:rFonts w:ascii="Cambria" w:cs="Cambria" w:eastAsia="Cambria" w:hAnsi="Cambria"/>
      <w:b w:val="1"/>
      <w:bCs w:val="1"/>
      <w:i w:val="1"/>
      <w:iCs w:val="1"/>
      <w:color w:val="4f81bd"/>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pBdr>
        <w:bottom w:color="4f81bd" w:space="4" w:sz="8" w:val="single"/>
      </w:pBdr>
      <w:spacing w:after="300" w:before="0" w:line="240" w:lineRule="auto"/>
      <w:jc w:val="both"/>
    </w:pPr>
    <w:rPr>
      <w:rFonts w:ascii="Cambria" w:cs="Cambria" w:eastAsia="Cambria" w:hAnsi="Cambria"/>
      <w:color w:val="17365d"/>
      <w:sz w:val="50"/>
      <w:szCs w:val="5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55.0" w:type="dxa"/>
        <w:left w:w="55.0" w:type="dxa"/>
        <w:bottom w:w="55.0" w:type="dxa"/>
        <w:right w:w="55.0" w:type="dxa"/>
      </w:tblCellMar>
    </w:tblPr>
  </w:style>
  <w:style w:type="table" w:styleId="Table2">
    <w:basedOn w:val="TableNormal"/>
    <w:tblPr>
      <w:tblStyleRowBandSize w:val="1"/>
      <w:tblStyleColBandSize w:val="1"/>
      <w:tblCellMar>
        <w:top w:w="55.0" w:type="dxa"/>
        <w:left w:w="55.0" w:type="dxa"/>
        <w:bottom w:w="55.0" w:type="dxa"/>
        <w:right w:w="55.0" w:type="dxa"/>
      </w:tblCellMar>
    </w:tblPr>
  </w:style>
  <w:style w:type="table" w:styleId="Table3">
    <w:basedOn w:val="TableNormal"/>
    <w:tblPr>
      <w:tblStyleRowBandSize w:val="1"/>
      <w:tblStyleColBandSize w:val="1"/>
      <w:tblCellMar>
        <w:top w:w="55.0" w:type="dxa"/>
        <w:left w:w="55.0" w:type="dxa"/>
        <w:bottom w:w="55.0" w:type="dxa"/>
        <w:right w:w="55.0" w:type="dxa"/>
      </w:tblCellMar>
    </w:tblPr>
  </w:style>
  <w:style w:type="table" w:styleId="Table4">
    <w:basedOn w:val="TableNormal"/>
    <w:tblPr>
      <w:tblStyleRowBandSize w:val="1"/>
      <w:tblStyleColBandSize w:val="1"/>
      <w:tblCellMar>
        <w:top w:w="55.0" w:type="dxa"/>
        <w:left w:w="55.0" w:type="dxa"/>
        <w:bottom w:w="55.0" w:type="dxa"/>
        <w:right w:w="55.0" w:type="dxa"/>
      </w:tblCellMar>
    </w:tblPr>
  </w:style>
  <w:style w:type="table" w:styleId="Table5">
    <w:basedOn w:val="TableNormal"/>
    <w:tblPr>
      <w:tblStyleRowBandSize w:val="1"/>
      <w:tblStyleColBandSize w:val="1"/>
      <w:tblCellMar>
        <w:top w:w="55.0" w:type="dxa"/>
        <w:left w:w="55.0" w:type="dxa"/>
        <w:bottom w:w="55.0" w:type="dxa"/>
        <w:right w:w="55.0" w:type="dxa"/>
      </w:tblCellMar>
    </w:tblPr>
  </w:style>
  <w:style w:type="table" w:styleId="Table6">
    <w:basedOn w:val="TableNormal"/>
    <w:tblPr>
      <w:tblStyleRowBandSize w:val="1"/>
      <w:tblStyleColBandSize w:val="1"/>
      <w:tblCellMar>
        <w:top w:w="55.0" w:type="dxa"/>
        <w:left w:w="55.0" w:type="dxa"/>
        <w:bottom w:w="55.0" w:type="dxa"/>
        <w:right w:w="5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16.png"/><Relationship Id="rId7" Type="http://schemas.openxmlformats.org/officeDocument/2006/relationships/image" Target="media/image1.png"/><Relationship Id="rId8" Type="http://schemas.openxmlformats.org/officeDocument/2006/relationships/image" Target="media/image5.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16.png"/></Relationships>
</file>

<file path=word/_rels/header1.xml.rels><?xml version="1.0" encoding="UTF-8" standalone="yes"?><Relationships xmlns="http://schemas.openxmlformats.org/package/2006/relationships"><Relationship Id="rId1" Type="http://schemas.openxmlformats.org/officeDocument/2006/relationships/image" Target="media/image16.png"/><Relationship Id="rId2" Type="http://schemas.openxmlformats.org/officeDocument/2006/relationships/image" Target="media/image1.png"/><Relationship Id="rId3" Type="http://schemas.openxmlformats.org/officeDocument/2006/relationships/image" Target="media/image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