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96"/>
        </w:rPr>
        <w:t>APEX CLEARING</w:t>
      </w:r>
    </w:p>
    <w:p>
      <w:pPr>
        <w:jc w:val="center"/>
      </w:pPr>
      <w:r>
        <w:rPr>
          <w:b/>
          <w:color w:val="EC0075"/>
          <w:sz w:val="72"/>
        </w:rPr>
        <w:t>Model Marketplace</w:t>
      </w:r>
    </w:p>
    <w:p>
      <w:pPr>
        <w:jc w:val="center"/>
      </w:pPr>
      <w:r>
        <w:rPr>
          <w:color w:val="0066CC"/>
          <w:sz w:val="36"/>
        </w:rPr>
        <w:t>Business Framework &amp; Implementation Guide</w:t>
      </w:r>
    </w:p>
    <w:p/>
    <w:p/>
    <w:p/>
    <w:p>
      <w:pPr>
        <w:jc w:val="center"/>
      </w:pPr>
      <w:r>
        <w:rPr>
          <w:color w:val="808080"/>
          <w:sz w:val="24"/>
        </w:rPr>
        <w:t>Version 1.1 | March 2026</w:t>
      </w:r>
    </w:p>
    <w:p>
      <w:r>
        <w:br w:type="page"/>
      </w:r>
    </w:p>
    <w:p>
      <w:pPr>
        <w:pStyle w:val="Heading1"/>
      </w:pPr>
      <w:r>
        <w:rPr>
          <w:color w:val="002060"/>
        </w:rPr>
        <w:t>What is Model Marketplace?</w:t>
      </w:r>
    </w:p>
    <w:p>
      <w:r>
        <w:t>Model Marketplace is Apex Clearing's centralized platform that enables investment advisors to discover, subscribe to, and implement third-party investment models directly within Ascend Workstation.</w:t>
      </w:r>
    </w:p>
    <w:p>
      <w:pPr>
        <w:pStyle w:val="Heading2"/>
      </w:pPr>
      <w:r>
        <w:rPr>
          <w:color w:val="802CC0"/>
        </w:rPr>
        <w:t>Core Functionality</w:t>
      </w:r>
    </w:p>
    <w:p>
      <w:pPr>
        <w:pStyle w:val="ListBullet"/>
      </w:pPr>
      <w:r>
        <w:t>Provides a curated marketplace of vetted investment models from institutional providers</w:t>
      </w:r>
    </w:p>
    <w:p>
      <w:pPr>
        <w:pStyle w:val="ListBullet"/>
      </w:pPr>
      <w:r>
        <w:t>Enables one-click subscription to professional asset allocation strategies</w:t>
      </w:r>
    </w:p>
    <w:p>
      <w:pPr>
        <w:pStyle w:val="ListBullet"/>
      </w:pPr>
      <w:r>
        <w:t>Automatically delivers model updates from providers to subscribed clients</w:t>
      </w:r>
    </w:p>
    <w:p>
      <w:pPr>
        <w:pStyle w:val="ListBullet"/>
      </w:pPr>
      <w:r>
        <w:t>Integrates subscribed models directly into Apex Rebalancer as ready-to-use portfolio goals</w:t>
      </w:r>
    </w:p>
    <w:p>
      <w:pPr>
        <w:pStyle w:val="Heading2"/>
      </w:pPr>
      <w:r>
        <w:rPr>
          <w:color w:val="802CC0"/>
        </w:rPr>
        <w:t>How Model Marketplace Connects to Rebalancer</w:t>
      </w:r>
    </w:p>
    <w:p>
      <w:r>
        <w:t>Model Marketplace and Rebalancer work as an integrated ecosystem. When an advisor subscribes to a model in Model Marketplace, that model automatically becomes available as a 'Goal' in Rebalancer.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1. Subscribe</w:t>
            </w:r>
          </w:p>
        </w:tc>
        <w:tc>
          <w:tcPr>
            <w:tcW w:type="dxa" w:w="2880"/>
          </w:tcPr>
          <w:p>
            <w:r>
              <w:t>Subscribe in Model Marketplace</w:t>
            </w:r>
          </w:p>
        </w:tc>
        <w:tc>
          <w:tcPr>
            <w:tcW w:type="dxa" w:w="2880"/>
          </w:tcPr>
          <w:p>
            <w:r>
              <w:t>Model appears in Rebalancer Goals list</w:t>
            </w:r>
          </w:p>
        </w:tc>
      </w:tr>
      <w:tr>
        <w:tc>
          <w:tcPr>
            <w:tcW w:type="dxa" w:w="2880"/>
          </w:tcPr>
          <w:p>
            <w:r>
              <w:t>2. Configure</w:t>
            </w:r>
          </w:p>
        </w:tc>
        <w:tc>
          <w:tcPr>
            <w:tcW w:type="dxa" w:w="2880"/>
          </w:tcPr>
          <w:p>
            <w:r>
              <w:t>Assign goal to client accounts</w:t>
            </w:r>
          </w:p>
        </w:tc>
        <w:tc>
          <w:tcPr>
            <w:tcW w:type="dxa" w:w="2880"/>
          </w:tcPr>
          <w:p>
            <w:r>
              <w:t>Portfolio linked to model allocation</w:t>
            </w:r>
          </w:p>
        </w:tc>
      </w:tr>
      <w:tr>
        <w:tc>
          <w:tcPr>
            <w:tcW w:type="dxa" w:w="2880"/>
          </w:tcPr>
          <w:p>
            <w:r>
              <w:t>3. Rebalance</w:t>
            </w:r>
          </w:p>
        </w:tc>
        <w:tc>
          <w:tcPr>
            <w:tcW w:type="dxa" w:w="2880"/>
          </w:tcPr>
          <w:p>
            <w:r>
              <w:t>Generate buy/sell orders</w:t>
            </w:r>
          </w:p>
        </w:tc>
        <w:tc>
          <w:tcPr>
            <w:tcW w:type="dxa" w:w="2880"/>
          </w:tcPr>
          <w:p>
            <w:r>
              <w:t>Portfolio matches model targets</w:t>
            </w:r>
          </w:p>
        </w:tc>
      </w:tr>
      <w:tr>
        <w:tc>
          <w:tcPr>
            <w:tcW w:type="dxa" w:w="2880"/>
          </w:tcPr>
          <w:p>
            <w:r>
              <w:t>4. Auto-Update</w:t>
            </w:r>
          </w:p>
        </w:tc>
        <w:tc>
          <w:tcPr>
            <w:tcW w:type="dxa" w:w="2880"/>
          </w:tcPr>
          <w:p>
            <w:r>
              <w:t>Provider updates model</w:t>
            </w:r>
          </w:p>
        </w:tc>
        <w:tc>
          <w:tcPr>
            <w:tcW w:type="dxa" w:w="2880"/>
          </w:tcPr>
          <w:p>
            <w:r>
              <w:t>Rebalancer goal updates automatically</w:t>
            </w:r>
          </w:p>
        </w:tc>
      </w:tr>
    </w:tbl>
    <w:p>
      <w:pPr>
        <w:pStyle w:val="Heading2"/>
      </w:pPr>
      <w:r>
        <w:rPr>
          <w:color w:val="802CC0"/>
        </w:rPr>
        <w:t>Current Status (Q1 2026)</w:t>
      </w:r>
    </w:p>
    <w:p>
      <w:r>
        <w:rPr>
          <w:b/>
        </w:rPr>
        <w:t xml:space="preserve">Total Providers: </w:t>
      </w:r>
      <w:r>
        <w:t>4 (Aptis, Franklin Templeton, Timco and Sachs, State Street coming soon)</w:t>
      </w:r>
    </w:p>
    <w:p>
      <w:r>
        <w:rPr>
          <w:b/>
        </w:rPr>
        <w:t xml:space="preserve">Models Available: </w:t>
      </w:r>
      <w:r>
        <w:t>12+</w:t>
      </w:r>
    </w:p>
    <w:p>
      <w:r>
        <w:rPr>
          <w:b/>
        </w:rPr>
        <w:t xml:space="preserve">Target Clients: </w:t>
      </w:r>
      <w:r>
        <w:t>38 existing Rebalancer firms</w:t>
      </w:r>
    </w:p>
    <w:p>
      <w:r>
        <w:rPr>
          <w:b/>
        </w:rPr>
        <w:t xml:space="preserve">Phase: </w:t>
      </w:r>
      <w:r>
        <w:t>Marketing launch &amp; press release (Q2 2026)</w:t>
      </w:r>
    </w:p>
    <w:p>
      <w:r>
        <w:br w:type="page"/>
      </w:r>
    </w:p>
    <w:p>
      <w:pPr>
        <w:pStyle w:val="Heading1"/>
      </w:pPr>
      <w:r>
        <w:rPr>
          <w:color w:val="002060"/>
        </w:rPr>
        <w:t>How Users Access &amp; Use Model Marketplace</w:t>
      </w:r>
    </w:p>
    <w:p>
      <w:r>
        <w:rPr>
          <w:b/>
          <w:color w:val="EC0075"/>
          <w:sz w:val="24"/>
        </w:rPr>
        <w:t>Step 1: Initial Access Setup</w:t>
      </w:r>
    </w:p>
    <w:p>
      <w:pPr>
        <w:pStyle w:val="ListBullet"/>
      </w:pPr>
      <w:r>
        <w:t>WHO: Apex Onboarding Team / Client Configurator Team</w:t>
      </w:r>
    </w:p>
    <w:p>
      <w:pPr>
        <w:pStyle w:val="ListBullet"/>
      </w:pPr>
      <w:r>
        <w:t>WHAT: Enable Model Marketplace at correspondent level</w:t>
      </w:r>
    </w:p>
    <w:p>
      <w:pPr>
        <w:pStyle w:val="ListBullet"/>
      </w:pPr>
      <w:r>
        <w:t>WHERE: Client Configurator → Experience Settings</w:t>
      </w:r>
    </w:p>
    <w:p>
      <w:pPr>
        <w:pStyle w:val="ListBullet"/>
      </w:pPr>
      <w:r>
        <w:t>TIMELINE: During client onboarding</w:t>
      </w:r>
    </w:p>
    <w:p>
      <w:r>
        <w:rPr>
          <w:b/>
          <w:color w:val="EC0075"/>
          <w:sz w:val="24"/>
        </w:rPr>
        <w:t>Step 2: User Permission Configuration</w:t>
      </w:r>
    </w:p>
    <w:p>
      <w:pPr>
        <w:pStyle w:val="ListBullet"/>
      </w:pPr>
      <w:r>
        <w:t>WHO: Client Administrator / Apex Client Services</w:t>
      </w:r>
    </w:p>
    <w:p>
      <w:pPr>
        <w:pStyle w:val="ListBullet"/>
      </w:pPr>
      <w:r>
        <w:t>WHAT: Grant subscribe permissions to specific users</w:t>
      </w:r>
    </w:p>
    <w:p>
      <w:pPr>
        <w:pStyle w:val="ListBullet"/>
      </w:pPr>
      <w:r>
        <w:t>WHERE: User management interface</w:t>
      </w:r>
    </w:p>
    <w:p>
      <w:pPr>
        <w:pStyle w:val="ListBullet"/>
      </w:pPr>
      <w:r>
        <w:t>TIMELINE: Before first use</w:t>
      </w:r>
    </w:p>
    <w:p>
      <w:r>
        <w:rPr>
          <w:b/>
          <w:color w:val="EC0075"/>
          <w:sz w:val="24"/>
        </w:rPr>
        <w:t>Step 3: Client Acceptance &amp; Discovery</w:t>
      </w:r>
    </w:p>
    <w:p>
      <w:pPr>
        <w:pStyle w:val="ListBullet"/>
      </w:pPr>
      <w:r>
        <w:t>WHO: End Client/Advisor</w:t>
      </w:r>
    </w:p>
    <w:p>
      <w:pPr>
        <w:pStyle w:val="ListBullet"/>
      </w:pPr>
      <w:r>
        <w:t>WHAT: Sign in to Ascend → Trading → Model Marketplace</w:t>
      </w:r>
    </w:p>
    <w:p>
      <w:pPr>
        <w:pStyle w:val="ListBullet"/>
      </w:pPr>
      <w:r>
        <w:t>WHERE: Accept Apex Terms &amp; Conditions (one-time)</w:t>
      </w:r>
    </w:p>
    <w:p>
      <w:pPr>
        <w:pStyle w:val="ListBullet"/>
      </w:pPr>
      <w:r>
        <w:t>TIMELINE: 5-10 minutes</w:t>
      </w:r>
    </w:p>
    <w:p>
      <w:r>
        <w:rPr>
          <w:b/>
          <w:color w:val="EC0075"/>
          <w:sz w:val="24"/>
        </w:rPr>
        <w:t>Step 4: Model Evaluation</w:t>
      </w:r>
    </w:p>
    <w:p>
      <w:pPr>
        <w:pStyle w:val="ListBullet"/>
      </w:pPr>
      <w:r>
        <w:t>WHO: Client/Advisor</w:t>
      </w:r>
    </w:p>
    <w:p>
      <w:pPr>
        <w:pStyle w:val="ListBullet"/>
      </w:pPr>
      <w:r>
        <w:t>WHAT: Review model details: Holdings, Target Weights, Summary</w:t>
      </w:r>
    </w:p>
    <w:p>
      <w:pPr>
        <w:pStyle w:val="ListBullet"/>
      </w:pPr>
      <w:r>
        <w:t>WHERE: Filter by Provider, Model, Investment Vehicle, Status</w:t>
      </w:r>
    </w:p>
    <w:p>
      <w:pPr>
        <w:pStyle w:val="ListBullet"/>
      </w:pPr>
      <w:r>
        <w:t>TIMELINE: Variable - depends on research depth</w:t>
      </w:r>
    </w:p>
    <w:p>
      <w:r>
        <w:br w:type="page"/>
      </w:r>
    </w:p>
    <w:p>
      <w:pPr>
        <w:pStyle w:val="Heading1"/>
      </w:pPr>
      <w:r>
        <w:rPr>
          <w:color w:val="002060"/>
        </w:rPr>
        <w:t>How Users Access &amp; Use Model Marketplace (continued)</w:t>
      </w:r>
    </w:p>
    <w:p>
      <w:r>
        <w:rPr>
          <w:b/>
          <w:color w:val="EC0075"/>
          <w:sz w:val="24"/>
        </w:rPr>
        <w:t>Step 5: Model Subscription</w:t>
      </w:r>
    </w:p>
    <w:p>
      <w:pPr>
        <w:pStyle w:val="ListBullet"/>
      </w:pPr>
      <w:r>
        <w:t>WHO: Authorized Client User (with subscribe permission)</w:t>
      </w:r>
    </w:p>
    <w:p>
      <w:pPr>
        <w:pStyle w:val="ListBullet"/>
      </w:pPr>
      <w:r>
        <w:t>WHAT: Click Subscribe → Accept Provider-Specific T&amp;Cs</w:t>
      </w:r>
    </w:p>
    <w:p>
      <w:pPr>
        <w:pStyle w:val="ListBullet"/>
      </w:pPr>
      <w:r>
        <w:t>WHERE: Status changes: AVAILABLE → SUBSCRIBED</w:t>
      </w:r>
    </w:p>
    <w:p>
      <w:pPr>
        <w:pStyle w:val="ListBullet"/>
      </w:pPr>
      <w:r>
        <w:t>TIMELINE: 2-3 minutes per model</w:t>
      </w:r>
    </w:p>
    <w:p>
      <w:r>
        <w:rPr>
          <w:b/>
          <w:color w:val="EC0075"/>
          <w:sz w:val="24"/>
        </w:rPr>
        <w:t>Step 6: Post-Subscription Configuration in Rebalancer</w:t>
      </w:r>
    </w:p>
    <w:p>
      <w:pPr>
        <w:pStyle w:val="ListBullet"/>
      </w:pPr>
      <w:r>
        <w:t>WHO: Client/Advisor</w:t>
      </w:r>
    </w:p>
    <w:p>
      <w:pPr>
        <w:pStyle w:val="ListBullet"/>
      </w:pPr>
      <w:r>
        <w:t>WHAT: CRITICAL - Verify asset class assignments for each security</w:t>
      </w:r>
    </w:p>
    <w:p>
      <w:pPr>
        <w:pStyle w:val="ListBullet"/>
      </w:pPr>
      <w:r>
        <w:t>WHERE: Rebalancer → Settings → Models → Create Goals</w:t>
      </w:r>
    </w:p>
    <w:p>
      <w:pPr>
        <w:pStyle w:val="ListBullet"/>
      </w:pPr>
      <w:r>
        <w:t>TIMELINE: 15-30 minutes for first model</w:t>
      </w:r>
    </w:p>
    <w:p>
      <w:r>
        <w:rPr>
          <w:b/>
          <w:color w:val="EC0075"/>
          <w:sz w:val="24"/>
        </w:rPr>
        <w:t>Step 7: Portfolio Rebalancing</w:t>
      </w:r>
    </w:p>
    <w:p>
      <w:pPr>
        <w:pStyle w:val="ListBullet"/>
      </w:pPr>
      <w:r>
        <w:t>WHO: Client/Advisor</w:t>
      </w:r>
    </w:p>
    <w:p>
      <w:pPr>
        <w:pStyle w:val="ListBullet"/>
      </w:pPr>
      <w:r>
        <w:t>WHAT: Initiate rebalance → Review buy/sell orders → Submit trades</w:t>
      </w:r>
    </w:p>
    <w:p>
      <w:pPr>
        <w:pStyle w:val="ListBullet"/>
      </w:pPr>
      <w:r>
        <w:t>WHERE: Review compliance disclosures before submission</w:t>
      </w:r>
    </w:p>
    <w:p>
      <w:pPr>
        <w:pStyle w:val="ListBullet"/>
      </w:pPr>
      <w:r>
        <w:t>TIMELINE: Variable based on portfolio size</w:t>
      </w:r>
    </w:p>
    <w:p>
      <w:r>
        <w:rPr>
          <w:b/>
          <w:color w:val="EC0075"/>
          <w:sz w:val="24"/>
        </w:rPr>
        <w:t>Step 8: Unsubscribe (Optional)</w:t>
      </w:r>
    </w:p>
    <w:p>
      <w:pPr>
        <w:pStyle w:val="ListBullet"/>
      </w:pPr>
      <w:r>
        <w:t>WHO: Client/Advisor</w:t>
      </w:r>
    </w:p>
    <w:p>
      <w:pPr>
        <w:pStyle w:val="ListBullet"/>
      </w:pPr>
      <w:r>
        <w:t>WHAT: Stops automatic updates but retains last subscribed weights</w:t>
      </w:r>
    </w:p>
    <w:p>
      <w:pPr>
        <w:pStyle w:val="ListBullet"/>
      </w:pPr>
      <w:r>
        <w:t>WHERE: To fully discontinue: Delete model from Rebalancer</w:t>
      </w:r>
    </w:p>
    <w:p>
      <w:pPr>
        <w:pStyle w:val="ListBullet"/>
      </w:pPr>
      <w:r>
        <w:t>TIMELINE: Immediate</w:t>
      </w:r>
    </w:p>
    <w:p>
      <w:r>
        <w:rPr>
          <w:b/>
          <w:color w:val="FF0000"/>
        </w:rPr>
        <w:t xml:space="preserve">⚠️ KEY LIMITATION: </w:t>
      </w:r>
      <w:r>
        <w:rPr>
          <w:color w:val="FF0000"/>
        </w:rPr>
        <w:t>Apex does NOT automatically execute trades. Automatic scheduled rebalancing planned for Q3 2026.</w:t>
      </w:r>
    </w:p>
    <w:p>
      <w:r>
        <w:br w:type="page"/>
      </w:r>
    </w:p>
    <w:p>
      <w:pPr>
        <w:pStyle w:val="Heading1"/>
      </w:pPr>
      <w:r>
        <w:rPr>
          <w:color w:val="002060"/>
        </w:rPr>
        <w:t>Success Metrics &amp; Targets (2026)</w:t>
      </w:r>
    </w:p>
    <w:p>
      <w:pPr>
        <w:pStyle w:val="Heading2"/>
      </w:pPr>
      <w:r>
        <w:rPr>
          <w:color w:val="802CC0"/>
        </w:rPr>
        <w:t>Adoption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06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02060"/>
          </w:tcPr>
          <w:p>
            <w:r>
              <w:rPr>
                <w:b/>
                <w:color w:val="FFFFFF"/>
              </w:rPr>
              <w:t>Current (Q1)</w:t>
            </w:r>
          </w:p>
        </w:tc>
        <w:tc>
          <w:tcPr>
            <w:tcW w:type="dxa" w:w="2880"/>
            <w:shd w:fill="002060"/>
          </w:tcPr>
          <w:p>
            <w:r>
              <w:rPr>
                <w:b/>
                <w:color w:val="FFFFFF"/>
              </w:rPr>
              <w:t>Target (2026)</w:t>
            </w:r>
          </w:p>
        </w:tc>
      </w:tr>
      <w:tr>
        <w:tc>
          <w:tcPr>
            <w:tcW w:type="dxa" w:w="2880"/>
          </w:tcPr>
          <w:p>
            <w:r>
              <w:t>Total Rebalancer Clients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38 enabled</w:t>
            </w:r>
          </w:p>
        </w:tc>
      </w:tr>
      <w:tr>
        <w:tc>
          <w:tcPr>
            <w:tcW w:type="dxa" w:w="2880"/>
          </w:tcPr>
          <w:p>
            <w:r>
              <w:t>MM Enabled Clients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30 (80%)</w:t>
            </w:r>
          </w:p>
        </w:tc>
      </w:tr>
      <w:tr>
        <w:tc>
          <w:tcPr>
            <w:tcW w:type="dxa" w:w="2880"/>
          </w:tcPr>
          <w:p>
            <w:r>
              <w:t>Users with Subscribe Permission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100+</w:t>
            </w:r>
          </w:p>
        </w:tc>
      </w:tr>
      <w:tr>
        <w:tc>
          <w:tcPr>
            <w:tcW w:type="dxa" w:w="2880"/>
          </w:tcPr>
          <w:p>
            <w:r>
              <w:t>Active Model Subscriptions</w:t>
            </w:r>
          </w:p>
        </w:tc>
        <w:tc>
          <w:tcPr>
            <w:tcW w:type="dxa" w:w="2880"/>
          </w:tcPr>
          <w:p>
            <w:r>
              <w:t>Growing</w:t>
            </w:r>
          </w:p>
        </w:tc>
        <w:tc>
          <w:tcPr>
            <w:tcW w:type="dxa" w:w="2880"/>
          </w:tcPr>
          <w:p>
            <w:r>
              <w:t>200+</w:t>
            </w:r>
          </w:p>
        </w:tc>
      </w:tr>
    </w:tbl>
    <w:p>
      <w:pPr>
        <w:pStyle w:val="Heading2"/>
      </w:pPr>
      <w:r>
        <w:rPr>
          <w:color w:val="802CC0"/>
        </w:rPr>
        <w:t>Business Impact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02CC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802CC0"/>
          </w:tcPr>
          <w:p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AUM in Models</w:t>
            </w:r>
          </w:p>
        </w:tc>
        <w:tc>
          <w:tcPr>
            <w:tcW w:type="dxa" w:w="4320"/>
          </w:tcPr>
          <w:p>
            <w:r>
              <w:t>$500M+ by EOY 2026</w:t>
            </w:r>
          </w:p>
        </w:tc>
      </w:tr>
      <w:tr>
        <w:tc>
          <w:tcPr>
            <w:tcW w:type="dxa" w:w="4320"/>
          </w:tcPr>
          <w:p>
            <w:r>
              <w:t>Revenue per Model</w:t>
            </w:r>
          </w:p>
        </w:tc>
        <w:tc>
          <w:tcPr>
            <w:tcW w:type="dxa" w:w="4320"/>
          </w:tcPr>
          <w:p>
            <w:r>
              <w:t>$50K average annual</w:t>
            </w:r>
          </w:p>
        </w:tc>
      </w:tr>
      <w:tr>
        <w:tc>
          <w:tcPr>
            <w:tcW w:type="dxa" w:w="4320"/>
          </w:tcPr>
          <w:p>
            <w:r>
              <w:t>Client Retention Impact</w:t>
            </w:r>
          </w:p>
        </w:tc>
        <w:tc>
          <w:tcPr>
            <w:tcW w:type="dxa" w:w="4320"/>
          </w:tcPr>
          <w:p>
            <w:r>
              <w:t>+15% for MM users</w:t>
            </w:r>
          </w:p>
        </w:tc>
      </w:tr>
      <w:tr>
        <w:tc>
          <w:tcPr>
            <w:tcW w:type="dxa" w:w="4320"/>
          </w:tcPr>
          <w:p>
            <w:r>
              <w:t>New Correspondent Wins</w:t>
            </w:r>
          </w:p>
        </w:tc>
        <w:tc>
          <w:tcPr>
            <w:tcW w:type="dxa" w:w="4320"/>
          </w:tcPr>
          <w:p>
            <w:r>
              <w:t>MM cited in 25% of pitches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2060"/>
        </w:rPr>
        <w:t>Provider Integration &amp; Client Communication</w:t>
      </w:r>
    </w:p>
    <w:p>
      <w:pPr>
        <w:pStyle w:val="Heading2"/>
      </w:pPr>
      <w:r>
        <w:rPr>
          <w:color w:val="802CC0"/>
        </w:rPr>
        <w:t>Current Providers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802CC0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880"/>
            <w:shd w:fill="802CC0"/>
          </w:tcPr>
          <w:p>
            <w:r>
              <w:rPr>
                <w:b/>
                <w:color w:val="FFFFFF"/>
              </w:rPr>
              <w:t>Models</w:t>
            </w:r>
          </w:p>
        </w:tc>
        <w:tc>
          <w:tcPr>
            <w:tcW w:type="dxa" w:w="2880"/>
            <w:shd w:fill="802CC0"/>
          </w:tcPr>
          <w:p>
            <w:r>
              <w:rPr>
                <w:b/>
                <w:color w:val="FFFFFF"/>
              </w:rPr>
              <w:t>Integration</w:t>
            </w:r>
          </w:p>
        </w:tc>
      </w:tr>
      <w:tr>
        <w:tc>
          <w:tcPr>
            <w:tcW w:type="dxa" w:w="2880"/>
          </w:tcPr>
          <w:p>
            <w:r>
              <w:t>Aptis</w:t>
            </w:r>
          </w:p>
        </w:tc>
        <w:tc>
          <w:tcPr>
            <w:tcW w:type="dxa" w:w="2880"/>
          </w:tcPr>
          <w:p>
            <w:r>
              <w:t>ETF models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</w:tr>
      <w:tr>
        <w:tc>
          <w:tcPr>
            <w:tcW w:type="dxa" w:w="2880"/>
          </w:tcPr>
          <w:p>
            <w:r>
              <w:t>Franklin Templeton</w:t>
            </w:r>
          </w:p>
        </w:tc>
        <w:tc>
          <w:tcPr>
            <w:tcW w:type="dxa" w:w="2880"/>
          </w:tcPr>
          <w:p>
            <w:r>
              <w:t>ETF models</w:t>
            </w:r>
          </w:p>
        </w:tc>
        <w:tc>
          <w:tcPr>
            <w:tcW w:type="dxa" w:w="2880"/>
          </w:tcPr>
          <w:p>
            <w:r>
              <w:t>LIVE - SFTP (daily feeds)</w:t>
            </w:r>
          </w:p>
        </w:tc>
      </w:tr>
      <w:tr>
        <w:tc>
          <w:tcPr>
            <w:tcW w:type="dxa" w:w="2880"/>
          </w:tcPr>
          <w:p>
            <w:r>
              <w:t>Timco and Sachs</w:t>
            </w:r>
          </w:p>
        </w:tc>
        <w:tc>
          <w:tcPr>
            <w:tcW w:type="dxa" w:w="2880"/>
          </w:tcPr>
          <w:p>
            <w:r>
              <w:t>Investment models</w:t>
            </w:r>
          </w:p>
        </w:tc>
        <w:tc>
          <w:tcPr>
            <w:tcW w:type="dxa" w:w="2880"/>
          </w:tcPr>
          <w:p>
            <w:r>
              <w:t>LIVE</w:t>
            </w:r>
          </w:p>
        </w:tc>
      </w:tr>
      <w:tr>
        <w:tc>
          <w:tcPr>
            <w:tcW w:type="dxa" w:w="2880"/>
          </w:tcPr>
          <w:p>
            <w:r>
              <w:t>State Street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COMING SOON</w:t>
            </w:r>
          </w:p>
        </w:tc>
      </w:tr>
    </w:tbl>
    <w:p>
      <w:pPr>
        <w:pStyle w:val="Heading2"/>
      </w:pPr>
      <w:r>
        <w:rPr>
          <w:color w:val="802CC0"/>
        </w:rPr>
        <w:t>Communication Strategy</w:t>
      </w:r>
    </w:p>
    <w:p>
      <w:pPr>
        <w:pStyle w:val="ListBullet"/>
      </w:pPr>
      <w:r>
        <w:t>Direct Outreach: Personalized emails to 38 existing Rebalancer clients</w:t>
      </w:r>
    </w:p>
    <w:p>
      <w:pPr>
        <w:pStyle w:val="ListBullet"/>
      </w:pPr>
      <w:r>
        <w:t>Documentation: Service Center articles, video tutorials</w:t>
      </w:r>
    </w:p>
    <w:p>
      <w:pPr>
        <w:pStyle w:val="ListBullet"/>
      </w:pPr>
      <w:r>
        <w:t>Press Release: Q2 2026 announcement targeting industry media</w:t>
      </w:r>
    </w:p>
    <w:p>
      <w:pPr>
        <w:pStyle w:val="ListBullet"/>
      </w:pPr>
      <w:r>
        <w:t>Internal Enablement: Sales team training, demo environment</w:t>
      </w:r>
    </w:p>
    <w:p>
      <w:r>
        <w:br w:type="page"/>
      </w:r>
    </w:p>
    <w:p>
      <w:pPr>
        <w:pStyle w:val="Heading1"/>
      </w:pPr>
      <w:r>
        <w:rPr>
          <w:color w:val="002060"/>
        </w:rPr>
        <w:t>Rebalancer Capabilities &amp; Integration</w:t>
      </w:r>
    </w:p>
    <w:p>
      <w:pPr>
        <w:pStyle w:val="Heading2"/>
      </w:pPr>
      <w:r>
        <w:rPr>
          <w:color w:val="802CC0"/>
        </w:rPr>
        <w:t>What is Rebalancer?</w:t>
      </w:r>
    </w:p>
    <w:p>
      <w:r>
        <w:t>Rebalancer is Apex's portfolio management tool that enables advisors to create target asset allocations (goals), assign them to accounts, and generate buy/sell orders. Model Marketplace subscriptions automatically populate as available goals within Rebalancer.</w:t>
      </w:r>
    </w:p>
    <w:p>
      <w:pPr>
        <w:pStyle w:val="Heading2"/>
      </w:pPr>
      <w:r>
        <w:rPr>
          <w:color w:val="802CC0"/>
        </w:rPr>
        <w:t>Core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00206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Goals Management</w:t>
            </w:r>
          </w:p>
        </w:tc>
        <w:tc>
          <w:tcPr>
            <w:tcW w:type="dxa" w:w="4320"/>
          </w:tcPr>
          <w:p>
            <w:r>
              <w:t>Create custom allocations or use subscribed models</w:t>
            </w:r>
          </w:p>
        </w:tc>
      </w:tr>
      <w:tr>
        <w:tc>
          <w:tcPr>
            <w:tcW w:type="dxa" w:w="4320"/>
          </w:tcPr>
          <w:p>
            <w:r>
              <w:t>Account Assignment</w:t>
            </w:r>
          </w:p>
        </w:tc>
        <w:tc>
          <w:tcPr>
            <w:tcW w:type="dxa" w:w="4320"/>
          </w:tcPr>
          <w:p>
            <w:r>
              <w:t>Link goals to individual or household accounts</w:t>
            </w:r>
          </w:p>
        </w:tc>
      </w:tr>
      <w:tr>
        <w:tc>
          <w:tcPr>
            <w:tcW w:type="dxa" w:w="4320"/>
          </w:tcPr>
          <w:p>
            <w:r>
              <w:t>Drift Monitoring</w:t>
            </w:r>
          </w:p>
        </w:tc>
        <w:tc>
          <w:tcPr>
            <w:tcW w:type="dxa" w:w="4320"/>
          </w:tcPr>
          <w:p>
            <w:r>
              <w:t>Track portfolio deviation from target allocation</w:t>
            </w:r>
          </w:p>
        </w:tc>
      </w:tr>
      <w:tr>
        <w:tc>
          <w:tcPr>
            <w:tcW w:type="dxa" w:w="4320"/>
          </w:tcPr>
          <w:p>
            <w:r>
              <w:t>Order Generation</w:t>
            </w:r>
          </w:p>
        </w:tc>
        <w:tc>
          <w:tcPr>
            <w:tcW w:type="dxa" w:w="4320"/>
          </w:tcPr>
          <w:p>
            <w:r>
              <w:t>Automated buy/sell recommendations</w:t>
            </w:r>
          </w:p>
        </w:tc>
      </w:tr>
      <w:tr>
        <w:tc>
          <w:tcPr>
            <w:tcW w:type="dxa" w:w="4320"/>
          </w:tcPr>
          <w:p>
            <w:r>
              <w:t>Tax Optimization</w:t>
            </w:r>
          </w:p>
        </w:tc>
        <w:tc>
          <w:tcPr>
            <w:tcW w:type="dxa" w:w="4320"/>
          </w:tcPr>
          <w:p>
            <w:r>
              <w:t>Tax-loss harvesting and gain/loss awareness</w:t>
            </w:r>
          </w:p>
        </w:tc>
      </w:tr>
      <w:tr>
        <w:tc>
          <w:tcPr>
            <w:tcW w:type="dxa" w:w="4320"/>
          </w:tcPr>
          <w:p>
            <w:r>
              <w:t>Compliance Checks</w:t>
            </w:r>
          </w:p>
        </w:tc>
        <w:tc>
          <w:tcPr>
            <w:tcW w:type="dxa" w:w="4320"/>
          </w:tcPr>
          <w:p>
            <w:r>
              <w:t>Pre-trade compliance rules and disclosures</w:t>
            </w:r>
          </w:p>
        </w:tc>
      </w:tr>
    </w:tbl>
    <w:p>
      <w:r>
        <w:rPr>
          <w:b/>
          <w:color w:val="FF0000"/>
        </w:rPr>
        <w:t xml:space="preserve">⚠️ Critical: </w:t>
      </w:r>
      <w:r>
        <w:rPr>
          <w:color w:val="FF0000"/>
        </w:rPr>
        <w:t>After subscribing, clients MUST verify asset class assignments for each security in the model.</w:t>
      </w:r>
    </w:p>
    <w:p>
      <w:r>
        <w:br w:type="page"/>
      </w:r>
    </w:p>
    <w:p>
      <w:pPr>
        <w:pStyle w:val="Heading1"/>
      </w:pPr>
      <w:r>
        <w:rPr>
          <w:color w:val="002060"/>
        </w:rPr>
        <w:t>Roadmap &amp; Key Contacts</w:t>
      </w:r>
    </w:p>
    <w:p>
      <w:pPr>
        <w:pStyle w:val="Heading2"/>
      </w:pPr>
      <w:r>
        <w:rPr>
          <w:color w:val="802CC0"/>
        </w:rPr>
        <w:t>2026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Initiative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Q2 2026</w:t>
            </w:r>
          </w:p>
        </w:tc>
        <w:tc>
          <w:tcPr>
            <w:tcW w:type="dxa" w:w="2880"/>
          </w:tcPr>
          <w:p>
            <w:r>
              <w:t>Marketing Launch &amp; Press Release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Q2 2026</w:t>
            </w:r>
          </w:p>
        </w:tc>
        <w:tc>
          <w:tcPr>
            <w:tcW w:type="dxa" w:w="2880"/>
          </w:tcPr>
          <w:p>
            <w:r>
              <w:t>Enhanced Provider Onboarding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  <w:tr>
        <w:tc>
          <w:tcPr>
            <w:tcW w:type="dxa" w:w="2880"/>
          </w:tcPr>
          <w:p>
            <w:r>
              <w:t>Q3 2026</w:t>
            </w:r>
          </w:p>
        </w:tc>
        <w:tc>
          <w:tcPr>
            <w:tcW w:type="dxa" w:w="2880"/>
          </w:tcPr>
          <w:p>
            <w:r>
              <w:t>Automatic Scheduled Rebalancing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Q3 2026</w:t>
            </w:r>
          </w:p>
        </w:tc>
        <w:tc>
          <w:tcPr>
            <w:tcW w:type="dxa" w:w="2880"/>
          </w:tcPr>
          <w:p>
            <w:r>
              <w:t>BD Resource for Provider Acquisition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Q4 2026</w:t>
            </w:r>
          </w:p>
        </w:tc>
        <w:tc>
          <w:tcPr>
            <w:tcW w:type="dxa" w:w="2880"/>
          </w:tcPr>
          <w:p>
            <w:r>
              <w:t>Advanced Filtering (ESG, risk)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  <w:tr>
        <w:tc>
          <w:tcPr>
            <w:tcW w:type="dxa" w:w="2880"/>
          </w:tcPr>
          <w:p>
            <w:r>
              <w:t>Q4 2026</w:t>
            </w:r>
          </w:p>
        </w:tc>
        <w:tc>
          <w:tcPr>
            <w:tcW w:type="dxa" w:w="2880"/>
          </w:tcPr>
          <w:p>
            <w:r>
              <w:t>Performance Analytics Dashboard</w:t>
            </w:r>
          </w:p>
        </w:tc>
        <w:tc>
          <w:tcPr>
            <w:tcW w:type="dxa" w:w="2880"/>
          </w:tcPr>
          <w:p>
            <w:r>
              <w:t>PLANNED</w:t>
            </w:r>
          </w:p>
        </w:tc>
      </w:tr>
    </w:tbl>
    <w:p>
      <w:r>
        <w:rPr>
          <w:b/>
          <w:color w:val="0066CC"/>
        </w:rPr>
        <w:t xml:space="preserve">Top Priority: </w:t>
      </w:r>
      <w:r>
        <w:t>Q3 2026 will introduce automatic scheduled rebalancing where clients can set recurring schedules (weekly, monthly, quarterly).</w:t>
      </w:r>
    </w:p>
    <w:p>
      <w:pPr>
        <w:pStyle w:val="Heading2"/>
      </w:pPr>
      <w:r>
        <w:rPr>
          <w:color w:val="802CC0"/>
        </w:rPr>
        <w:t>Key Contacts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06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002060"/>
          </w:tcPr>
          <w:p>
            <w:r>
              <w:rPr>
                <w:b/>
                <w:color w:val="FFFFFF"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Neema Raphael - neema.raphael@apexclearing.com</w:t>
            </w:r>
          </w:p>
        </w:tc>
      </w:tr>
      <w:tr>
        <w:tc>
          <w:tcPr>
            <w:tcW w:type="dxa" w:w="4320"/>
          </w:tcPr>
          <w:p>
            <w:r>
              <w:t>Technical Support</w:t>
            </w:r>
          </w:p>
        </w:tc>
        <w:tc>
          <w:tcPr>
            <w:tcW w:type="dxa" w:w="4320"/>
          </w:tcPr>
          <w:p>
            <w:r>
              <w:t>Ascend Support - support@apexclearing.com</w:t>
            </w:r>
          </w:p>
        </w:tc>
      </w:tr>
      <w:tr>
        <w:tc>
          <w:tcPr>
            <w:tcW w:type="dxa" w:w="4320"/>
          </w:tcPr>
          <w:p>
            <w:r>
              <w:t>Sales Inquiries</w:t>
            </w:r>
          </w:p>
        </w:tc>
        <w:tc>
          <w:tcPr>
            <w:tcW w:type="dxa" w:w="4320"/>
          </w:tcPr>
          <w:p>
            <w:r>
              <w:t>Business Development - bd@apexclearing.com</w:t>
            </w:r>
          </w:p>
        </w:tc>
      </w:tr>
      <w:tr>
        <w:tc>
          <w:tcPr>
            <w:tcW w:type="dxa" w:w="4320"/>
          </w:tcPr>
          <w:p>
            <w:r>
              <w:t>Provider Partnerships</w:t>
            </w:r>
          </w:p>
        </w:tc>
        <w:tc>
          <w:tcPr>
            <w:tcW w:type="dxa" w:w="4320"/>
          </w:tcPr>
          <w:p>
            <w:r>
              <w:t>BD Team - partnerships@apexclearing.com</w:t>
            </w:r>
          </w:p>
        </w:tc>
      </w:tr>
    </w:tbl>
    <w:p/>
    <w:p/>
    <w:p>
      <w:pPr>
        <w:jc w:val="center"/>
      </w:pPr>
      <w:r>
        <w:rPr>
          <w:color w:val="808080"/>
          <w:sz w:val="18"/>
        </w:rPr>
        <w:t>Document Version: 1.1 | Last Updated: March 2026</w:t>
        <w:br/>
        <w:t>Confidential: For internal Apex use and authorized correspondents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