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Dropout Version 2 Data Cleaning</w:t>
      </w:r>
    </w:p>
    <w:p>
      <w:pPr>
        <w:pStyle w:val="Heading2"/>
      </w:pPr>
      <w:r>
        <w:t>1. Purpose</w:t>
      </w:r>
    </w:p>
    <w:p>
      <w:r>
        <w:t>This document explains the end‑to‑end data loading, quality checks, cleaning rules, feature standardization, and exports for Dropout Version 2. The approach is designed to be resilient to varying CSV encodings, schema drift, and duplicate identifiers while preserving auditability.</w:t>
      </w:r>
    </w:p>
    <w:p>
      <w:pPr>
        <w:pStyle w:val="Heading2"/>
      </w:pPr>
      <w:r>
        <w:t>2. Data Ingestion and Discovery</w:t>
      </w:r>
    </w:p>
    <w:p>
      <w:pPr>
        <w:pStyle w:val="ListBullet"/>
      </w:pPr>
      <w:r>
        <w:t>Environment variables define raw and outputs directories.</w:t>
      </w:r>
    </w:p>
    <w:p>
      <w:pPr>
        <w:pStyle w:val="ListBullet"/>
      </w:pPr>
      <w:r>
        <w:t>All CSV files under the raw directory are discovered recursively and loaded.</w:t>
      </w:r>
    </w:p>
    <w:p>
      <w:pPr>
        <w:pStyle w:val="ListBullet"/>
      </w:pPr>
      <w:r>
        <w:t>A defensive CSV reader handles UTF‑8 with BOM and falls back to Latin‑1 if necessary.</w:t>
      </w:r>
    </w:p>
    <w:p>
      <w:pPr>
        <w:pStyle w:val="ListBullet"/>
      </w:pPr>
      <w:r>
        <w:t>Loading continues even when individual files fail; errors are logged.</w:t>
      </w:r>
    </w:p>
    <w:p>
      <w:pPr>
        <w:pStyle w:val="ListBullet"/>
      </w:pPr>
      <w:r>
        <w:t>A summary table captures row/column counts and full column name lists for each loaded table.</w:t>
      </w:r>
    </w:p>
    <w:p>
      <w:pPr>
        <w:pStyle w:val="Heading2"/>
      </w:pPr>
      <w:r>
        <w:t>3. Working Set Selection</w:t>
      </w:r>
    </w:p>
    <w:p>
      <w:r>
        <w:t>From the discovered tables, a working set is formed using human‑readable names (e.g., student characteristics, skills/knowledge check, degrees, and course results). Only tables with over 40,000 rows are retained to ensure sufficient sample size for stable distributions.</w:t>
      </w:r>
    </w:p>
    <w:p>
      <w:pPr>
        <w:pStyle w:val="Heading2"/>
      </w:pPr>
      <w:r>
        <w:t>4. Schema Profiling</w:t>
      </w:r>
    </w:p>
    <w:p>
      <w:r>
        <w:t>For each dataset in the working set, a dynamic profile is computed:</w:t>
      </w:r>
    </w:p>
    <w:p>
      <w:pPr>
        <w:pStyle w:val="ListBullet"/>
      </w:pPr>
      <w:r>
        <w:t>Row and column counts.</w:t>
      </w:r>
    </w:p>
    <w:p>
      <w:pPr>
        <w:pStyle w:val="ListBullet"/>
      </w:pPr>
      <w:r>
        <w:t>Candidate single‑column primary keys (non‑null and fully unique).</w:t>
      </w:r>
    </w:p>
    <w:p>
      <w:pPr>
        <w:pStyle w:val="ListBullet"/>
      </w:pPr>
      <w:r>
        <w:t>For every column: dtype, null/non‑null counts, null percentage, number of unique values, example values, and numeric/datetime ranges where applicable.</w:t>
      </w:r>
    </w:p>
    <w:p>
      <w:pPr>
        <w:pStyle w:val="Heading2"/>
      </w:pPr>
      <w:r>
        <w:t>5. Identifier Standardization and De‑duplication</w:t>
      </w:r>
    </w:p>
    <w:p>
      <w:pPr>
        <w:pStyle w:val="ListBullet"/>
      </w:pPr>
      <w:r>
        <w:t>The person key is unified to the exact column name SINH_ID (accepting common variants such as sinh_id or sinh_d).</w:t>
      </w:r>
    </w:p>
    <w:p>
      <w:pPr>
        <w:pStyle w:val="ListBullet"/>
      </w:pPr>
      <w:r>
        <w:t>Per‑dataset duplicate analysis reports total rows, unique IDs, duplicate rows, and duplicate IDs; the ten most frequent duplicates are previewed.</w:t>
      </w:r>
    </w:p>
    <w:p>
      <w:pPr>
        <w:pStyle w:val="ListBullet"/>
      </w:pPr>
      <w:r>
        <w:t>Where duplicates exist, de‑duplication is performed on SINH_ID with a configurable keep policy (default keep='last').</w:t>
      </w:r>
    </w:p>
    <w:p>
      <w:pPr>
        <w:pStyle w:val="ListBullet"/>
      </w:pPr>
      <w:r>
        <w:t>Removed duplicates are stored per dataset for audit. Cleaned datasets replace their originals.</w:t>
      </w:r>
    </w:p>
    <w:p>
      <w:pPr>
        <w:pStyle w:val="Heading2"/>
      </w:pPr>
      <w:r>
        <w:t>6. Column Name Normalization and Provenance</w:t>
      </w:r>
    </w:p>
    <w:p>
      <w:pPr>
        <w:pStyle w:val="ListBullet"/>
      </w:pPr>
      <w:r>
        <w:t>Column headers are trimmed and internal whitespace is collapsed to single underscores (e.g., “Total Credits Block A” → “Total_Credits_Block_A”).</w:t>
      </w:r>
    </w:p>
    <w:p>
      <w:pPr>
        <w:pStyle w:val="ListBullet"/>
      </w:pPr>
      <w:r>
        <w:t>All non‑key columns are prefixed with their dataset short name (e.g., sdo1_, sdo2_, sdo5_, sdo6_) to maintain provenance and prevent collisions after joins.</w:t>
      </w:r>
    </w:p>
    <w:p>
      <w:pPr>
        <w:pStyle w:val="ListBullet"/>
      </w:pPr>
      <w:r>
        <w:t>The key column SINH_ID is never prefixed.</w:t>
      </w:r>
    </w:p>
    <w:p>
      <w:pPr>
        <w:pStyle w:val="Heading2"/>
      </w:pPr>
      <w:r>
        <w:t>7. Dataset Integration</w:t>
      </w:r>
    </w:p>
    <w:p>
      <w:pPr>
        <w:pStyle w:val="ListBullet"/>
      </w:pPr>
      <w:r>
        <w:t>The cleaned datasets are joined on SINH_ID using left joins, using student characteristics as the base.</w:t>
      </w:r>
    </w:p>
    <w:p>
      <w:pPr>
        <w:pStyle w:val="ListBullet"/>
      </w:pPr>
      <w:r>
        <w:t>The resulting integrated DataFrame is the Version 2 base table. A combined CSV is written to the outputs directory.</w:t>
      </w:r>
    </w:p>
    <w:p>
      <w:pPr>
        <w:pStyle w:val="Heading2"/>
      </w:pPr>
      <w:r>
        <w:t>8. Column Pruning and Single‑Value Detection</w:t>
      </w:r>
    </w:p>
    <w:p>
      <w:pPr>
        <w:pStyle w:val="ListBullet"/>
      </w:pPr>
      <w:r>
        <w:t>Non‑analytical identifiers and technical codes are dropped (e.g., internal student ID variants and degree code fragments).</w:t>
      </w:r>
    </w:p>
    <w:p>
      <w:pPr>
        <w:pStyle w:val="ListBullet"/>
      </w:pPr>
      <w:r>
        <w:t>Columns that contain only a single unique value are detected and listed for removal or downstream awareness.</w:t>
      </w:r>
    </w:p>
    <w:p>
      <w:pPr>
        <w:pStyle w:val="Heading2"/>
      </w:pPr>
      <w:r>
        <w:t>9. Missingness and Type Handling</w:t>
      </w:r>
    </w:p>
    <w:p>
      <w:pPr>
        <w:pStyle w:val="ListBullet"/>
      </w:pPr>
      <w:r>
        <w:t>Global null counts are inspected.</w:t>
      </w:r>
    </w:p>
    <w:p>
      <w:pPr>
        <w:pStyle w:val="ListBullet"/>
      </w:pPr>
      <w:r>
        <w:t>Known date fields (date of birth, skills/knowledge check date, enrollment start, and degree start) are coerced to datetime with invalid values set to missing (NaT).</w:t>
      </w:r>
    </w:p>
    <w:p>
      <w:pPr>
        <w:pStyle w:val="Heading2"/>
      </w:pPr>
      <w:r>
        <w:t>10. Targeted Categorical Cleaning</w:t>
      </w:r>
    </w:p>
    <w:p>
      <w:r>
        <w:t>10.1 Nationality (sdo1_nationality)</w:t>
      </w:r>
    </w:p>
    <w:p>
      <w:pPr>
        <w:pStyle w:val="ListBullet"/>
      </w:pPr>
      <w:r>
        <w:t>Replace special unknown codes (e.g., “XXX”, “XX”) with “Unknown”.</w:t>
      </w:r>
    </w:p>
    <w:p>
      <w:pPr>
        <w:pStyle w:val="ListBullet"/>
      </w:pPr>
      <w:r>
        <w:t>Group categories with &lt;1% frequency into “Other”; dominant codes (e.g., NL) are kept.</w:t>
      </w:r>
    </w:p>
    <w:p/>
    <w:p>
      <w:r>
        <w:t>10.2 Skills/Knowledge Check Result (sdo2_SKC_RESULT)</w:t>
      </w:r>
    </w:p>
    <w:p>
      <w:pPr>
        <w:pStyle w:val="ListBullet"/>
      </w:pPr>
      <w:r>
        <w:t>Replace categories with fewer than 100 occurrences by “Other”.</w:t>
      </w:r>
    </w:p>
    <w:p/>
    <w:p>
      <w:r>
        <w:t>10.3 Final Advice Text (sdo2_ADVIES_DEF)</w:t>
      </w:r>
    </w:p>
    <w:p>
      <w:pPr>
        <w:pStyle w:val="ListBullet"/>
      </w:pPr>
      <w:r>
        <w:t>Remove the token “met”.</w:t>
      </w:r>
    </w:p>
    <w:p>
      <w:pPr>
        <w:pStyle w:val="ListBullet"/>
      </w:pPr>
      <w:r>
        <w:t>Replace spaces with underscores; preserve original capitalization otherwise; leave missing values as missing.</w:t>
      </w:r>
    </w:p>
    <w:p/>
    <w:p>
      <w:r>
        <w:t>10.4 Degree/Programme Label (sdo5_degree)</w:t>
      </w:r>
    </w:p>
    <w:p>
      <w:pPr>
        <w:pStyle w:val="ListBullet"/>
      </w:pPr>
      <w:r>
        <w:t>Preserve explicit mappings for specific primary‑education and arts‑therapies variants (e.g., Primary_Education_Day, Primary_Education_ALPO, Primary_Education_Regular, Music_Therapy, Drama_Therapy, Art_Therapy).</w:t>
      </w:r>
    </w:p>
    <w:p>
      <w:pPr>
        <w:pStyle w:val="ListBullet"/>
      </w:pPr>
      <w:r>
        <w:t>Remove leading degree prefixes (“B ” and “Bachelor of ”).</w:t>
      </w:r>
    </w:p>
    <w:p>
      <w:pPr>
        <w:pStyle w:val="ListBullet"/>
      </w:pPr>
      <w:r>
        <w:t>Correct known typos (e.g., “Chemics” → “Chemistry”).</w:t>
      </w:r>
    </w:p>
    <w:p>
      <w:pPr>
        <w:pStyle w:val="ListBullet"/>
      </w:pPr>
      <w:r>
        <w:t>Remove common prepositions (“and”, “with”, “in”) and punctuation (&amp;, commas).</w:t>
      </w:r>
    </w:p>
    <w:p>
      <w:pPr>
        <w:pStyle w:val="ListBullet"/>
      </w:pPr>
      <w:r>
        <w:t>Normalize whitespace, apply Title Case, then convert spaces to underscores.</w:t>
      </w:r>
    </w:p>
    <w:p>
      <w:pPr>
        <w:pStyle w:val="ListBullet"/>
      </w:pPr>
      <w:r>
        <w:t>Preserve the token “Teacher” as‑is; map missing values to “Unknown”.</w:t>
      </w:r>
    </w:p>
    <w:p>
      <w:pPr>
        <w:pStyle w:val="Heading2"/>
      </w:pPr>
      <w:r>
        <w:t>11. Exploratory Distributions</w:t>
      </w:r>
    </w:p>
    <w:p>
      <w:pPr>
        <w:pStyle w:val="ListBullet"/>
      </w:pPr>
      <w:r>
        <w:t>Full value counts are produced for all columns early in the process for orientation.</w:t>
      </w:r>
    </w:p>
    <w:p>
      <w:pPr>
        <w:pStyle w:val="ListBullet"/>
      </w:pPr>
      <w:r>
        <w:t>Later, focused distributions are printed for string/object columns (excluding key identifiers and postcodes) to verify categorical cleaning impact.</w:t>
      </w:r>
    </w:p>
    <w:p>
      <w:pPr>
        <w:pStyle w:val="Heading2"/>
      </w:pPr>
      <w:r>
        <w:t>12. Outputs</w:t>
      </w:r>
    </w:p>
    <w:p>
      <w:pPr>
        <w:pStyle w:val="ListBullet"/>
      </w:pPr>
      <w:r>
        <w:t>Intermediate integrated export: combined Version 2 table (CSV) to the outputs directory.</w:t>
      </w:r>
    </w:p>
    <w:p>
      <w:pPr>
        <w:pStyle w:val="ListBullet"/>
      </w:pPr>
      <w:r>
        <w:t>Final processed export for model/analysis integration: dropout_version2_data.csv in the processed data folder.</w:t>
      </w:r>
    </w:p>
    <w:p>
      <w:pPr>
        <w:pStyle w:val="Heading2"/>
      </w:pPr>
      <w:r>
        <w:t>13. Operational Notes and Guardrails</w:t>
      </w:r>
    </w:p>
    <w:p>
      <w:pPr>
        <w:pStyle w:val="ListBullet"/>
      </w:pPr>
      <w:r>
        <w:t>The pipeline is tolerant to added/removed files, unexpected encodings, and schema changes.</w:t>
      </w:r>
    </w:p>
    <w:p>
      <w:pPr>
        <w:pStyle w:val="ListBullet"/>
      </w:pPr>
      <w:r>
        <w:t>All de‑duplication actions are logged with removed rows kept for review.</w:t>
      </w:r>
    </w:p>
    <w:p>
      <w:pPr>
        <w:pStyle w:val="ListBullet"/>
      </w:pPr>
      <w:r>
        <w:t>Prefixing ensures downstream merges remain unambiguous.</w:t>
      </w:r>
    </w:p>
    <w:p>
      <w:pPr>
        <w:pStyle w:val="ListBullet"/>
      </w:pPr>
      <w:r>
        <w:t>Frequency thresholds (e.g., 1% for nationality; 100 for SKC results) can be tuned without changing the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