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410C" w14:textId="77777777" w:rsidR="00BF24FF" w:rsidRDefault="00000000">
      <w:pPr>
        <w:pStyle w:val="Heading1"/>
      </w:pPr>
      <w:r>
        <w:t>combining_dropout</w:t>
      </w:r>
      <w:commentRangeStart w:id="0"/>
      <w:r>
        <w:t>_</w:t>
      </w:r>
      <w:commentRangeEnd w:id="0"/>
      <w:r w:rsidR="00231626">
        <w:rPr>
          <w:rStyle w:val="CommentReference"/>
          <w:rFonts w:asciiTheme="minorHAnsi" w:eastAsiaTheme="minorEastAsia" w:hAnsiTheme="minorHAnsi" w:cstheme="minorBidi"/>
          <w:b w:val="0"/>
          <w:bCs w:val="0"/>
          <w:color w:val="auto"/>
        </w:rPr>
        <w:commentReference w:id="0"/>
      </w:r>
      <w:r>
        <w:t>v1v2_data</w:t>
      </w:r>
    </w:p>
    <w:p w14:paraId="5607180A" w14:textId="77777777" w:rsidR="00BF24FF" w:rsidRDefault="00000000">
      <w:pPr>
        <w:pStyle w:val="Heading2"/>
      </w:pPr>
      <w:r>
        <w:t>1. Objective</w:t>
      </w:r>
    </w:p>
    <w:p w14:paraId="693217B0" w14:textId="77777777" w:rsidR="00BF24FF" w:rsidRDefault="00000000">
      <w:r>
        <w:t xml:space="preserve">Document the end‑to‑end process that combines </w:t>
      </w:r>
      <w:commentRangeStart w:id="1"/>
      <w:r>
        <w:t xml:space="preserve">Version 1 and Version 2 </w:t>
      </w:r>
      <w:commentRangeEnd w:id="1"/>
      <w:r w:rsidR="0074682A">
        <w:rPr>
          <w:rStyle w:val="CommentReference"/>
        </w:rPr>
        <w:commentReference w:id="1"/>
      </w:r>
      <w:r>
        <w:t>cleaned datasets into a single, analysis‑ready table. The procedure preserves provenance, resolves duplicates and near‑duplicates, derives additional features, standardizes naming, and performs targeted imputations.</w:t>
      </w:r>
    </w:p>
    <w:p w14:paraId="41C3B5E5" w14:textId="77777777" w:rsidR="00BF24FF" w:rsidRDefault="00000000">
      <w:pPr>
        <w:pStyle w:val="Heading2"/>
      </w:pPr>
      <w:r>
        <w:t>2. Inputs and Setup</w:t>
      </w:r>
    </w:p>
    <w:p w14:paraId="0C25EECE" w14:textId="77777777" w:rsidR="00BF24FF" w:rsidRDefault="00000000">
      <w:pPr>
        <w:pStyle w:val="ListBullet"/>
      </w:pPr>
      <w:r>
        <w:t>Load environment variables to locate raw and output directories.</w:t>
      </w:r>
    </w:p>
    <w:p w14:paraId="26471BCC" w14:textId="77777777" w:rsidR="00BF24FF" w:rsidRDefault="00000000">
      <w:pPr>
        <w:pStyle w:val="ListBullet"/>
      </w:pPr>
      <w:r>
        <w:t>Read the two processed datasets produced by the Version 1 and Version 2 pipelines.</w:t>
      </w:r>
    </w:p>
    <w:p w14:paraId="1102151D" w14:textId="77777777" w:rsidR="00BF24FF" w:rsidRDefault="00000000">
      <w:pPr>
        <w:pStyle w:val="ListBullet"/>
      </w:pPr>
      <w:r>
        <w:t>Drop any unnamed index columns created during prior exports.</w:t>
      </w:r>
    </w:p>
    <w:p w14:paraId="17F0AF43" w14:textId="77777777" w:rsidR="00BF24FF" w:rsidRDefault="00000000">
      <w:pPr>
        <w:pStyle w:val="ListBullet"/>
      </w:pPr>
      <w:r>
        <w:t>Validate shapes of both inputs before proceeding.</w:t>
      </w:r>
    </w:p>
    <w:p w14:paraId="078059E3" w14:textId="77777777" w:rsidR="00BF24FF" w:rsidRDefault="00000000">
      <w:pPr>
        <w:pStyle w:val="Heading2"/>
      </w:pPr>
      <w:r>
        <w:t>3. Version‑Aware Column Suffixing and Merge</w:t>
      </w:r>
    </w:p>
    <w:p w14:paraId="620503F3" w14:textId="77777777" w:rsidR="00BF24FF" w:rsidRDefault="00000000">
      <w:pPr>
        <w:pStyle w:val="ListBullet"/>
      </w:pPr>
      <w:r>
        <w:t>Append suffixes to all columns except the shared key to retain provenance:</w:t>
      </w:r>
    </w:p>
    <w:p w14:paraId="75755ABD" w14:textId="77777777" w:rsidR="00BF24FF" w:rsidRDefault="00000000">
      <w:r>
        <w:t xml:space="preserve">  – “_v1” for Version 1 columns, “_v2” for Version 2 columns.</w:t>
      </w:r>
    </w:p>
    <w:p w14:paraId="32270038" w14:textId="77777777" w:rsidR="00BF24FF" w:rsidRDefault="00000000">
      <w:pPr>
        <w:pStyle w:val="ListBullet"/>
      </w:pPr>
      <w:r>
        <w:t>Merge the datasets on the person key using an inner join to retain records present in both versions.</w:t>
      </w:r>
    </w:p>
    <w:p w14:paraId="1D402C0D" w14:textId="77777777" w:rsidR="00BF24FF" w:rsidRDefault="00000000">
      <w:pPr>
        <w:pStyle w:val="ListBullet"/>
      </w:pPr>
      <w:r>
        <w:t>Confirm the combined shape post‑merge.</w:t>
      </w:r>
    </w:p>
    <w:p w14:paraId="41E6C20B" w14:textId="77777777" w:rsidR="00BF24FF" w:rsidRDefault="00000000">
      <w:pPr>
        <w:pStyle w:val="Heading2"/>
      </w:pPr>
      <w:r>
        <w:t>4. Redundancy Scan: Identical and Near‑Identical Columns</w:t>
      </w:r>
    </w:p>
    <w:p w14:paraId="4CAEF93C" w14:textId="77777777" w:rsidR="00BF24FF" w:rsidRDefault="00000000">
      <w:pPr>
        <w:pStyle w:val="ListBullet"/>
      </w:pPr>
      <w:r>
        <w:t>Pairwise comparison across all columns identifies:</w:t>
      </w:r>
    </w:p>
    <w:p w14:paraId="6F9C5972" w14:textId="77777777" w:rsidR="00BF24FF" w:rsidRDefault="00000000">
      <w:r>
        <w:t xml:space="preserve">  – Identical pairs (100% match, counting NaNs at the same positions as equal).</w:t>
      </w:r>
    </w:p>
    <w:p w14:paraId="5C2064C5" w14:textId="77777777" w:rsidR="00BF24FF" w:rsidRDefault="00000000">
      <w:r>
        <w:t xml:space="preserve">  – Near‑identical pairs (match rate ≥ configurable threshold; NaN‑aware and numeric‑tolerant via isclose).</w:t>
      </w:r>
    </w:p>
    <w:p w14:paraId="61C6CB3B" w14:textId="77777777" w:rsidR="00BF24FF" w:rsidRDefault="00000000">
      <w:pPr>
        <w:pStyle w:val="ListBullet"/>
      </w:pPr>
      <w:r>
        <w:t>The scan balances strict string equality with numeric closeness to avoid false mismatches from rounding.</w:t>
      </w:r>
    </w:p>
    <w:p w14:paraId="226F8554" w14:textId="77777777" w:rsidR="00BF24FF" w:rsidRDefault="00000000">
      <w:pPr>
        <w:pStyle w:val="Heading2"/>
      </w:pPr>
      <w:r>
        <w:t>5. Targeted Column Pruning</w:t>
      </w:r>
    </w:p>
    <w:p w14:paraId="2B5ABAC3" w14:textId="77777777" w:rsidR="00BF24FF" w:rsidRDefault="00000000">
      <w:pPr>
        <w:pStyle w:val="ListBullet"/>
      </w:pPr>
      <w:r>
        <w:t>Remove clearly redundant Version 1 columns where semantically equivalent Version 2 columns exist.</w:t>
      </w:r>
    </w:p>
    <w:p w14:paraId="52BB9D1C" w14:textId="77777777" w:rsidR="00BF24FF" w:rsidRDefault="00000000">
      <w:pPr>
        <w:pStyle w:val="ListBullet"/>
      </w:pPr>
      <w:r>
        <w:t>Focus on dropping older or less informative variants to minimize duplication while preserving coverage.</w:t>
      </w:r>
    </w:p>
    <w:p w14:paraId="028725F3" w14:textId="77777777" w:rsidR="00BF24FF" w:rsidRDefault="00000000">
      <w:pPr>
        <w:pStyle w:val="Heading2"/>
      </w:pPr>
      <w:r>
        <w:t>6. Categorical Standardization (Selected Fields)</w:t>
      </w:r>
    </w:p>
    <w:p w14:paraId="15C78889" w14:textId="77777777" w:rsidR="00BF24FF" w:rsidRDefault="00000000">
      <w:r>
        <w:t>6.1 Prior_Edu_School_Name_v1</w:t>
      </w:r>
    </w:p>
    <w:p w14:paraId="22CDBE86" w14:textId="77777777" w:rsidR="00BF24FF" w:rsidRDefault="00000000">
      <w:pPr>
        <w:pStyle w:val="ListBullet"/>
      </w:pPr>
      <w:r>
        <w:lastRenderedPageBreak/>
        <w:t>Rare categories (&lt;100) → “Other”.</w:t>
      </w:r>
    </w:p>
    <w:p w14:paraId="4A12E17D" w14:textId="77777777" w:rsidR="00BF24FF" w:rsidRDefault="00000000">
      <w:pPr>
        <w:pStyle w:val="ListBullet"/>
      </w:pPr>
      <w:r>
        <w:t>Replace literal ‘0’ (string or numeric) with “Unknown”.</w:t>
      </w:r>
    </w:p>
    <w:p w14:paraId="516144D6" w14:textId="77777777" w:rsidR="00BF24FF" w:rsidRDefault="00000000">
      <w:pPr>
        <w:pStyle w:val="ListBullet"/>
      </w:pPr>
      <w:r>
        <w:t>Advanced text cleaner:</w:t>
      </w:r>
    </w:p>
    <w:p w14:paraId="1B9AAA13" w14:textId="77777777" w:rsidR="00BF24FF" w:rsidRDefault="00000000">
      <w:r>
        <w:t xml:space="preserve">  – Protects ‘ROC’, strips punctuation, removes common education abbreviations and generic tokens,     drops short word fragments, normalizes to underscore‑separated tokens; empty results → ‘unknown’.</w:t>
      </w:r>
    </w:p>
    <w:p w14:paraId="177B56B3" w14:textId="77777777" w:rsidR="00BF24FF" w:rsidRDefault="00BF24FF"/>
    <w:p w14:paraId="71B9C28D" w14:textId="77777777" w:rsidR="00BF24FF" w:rsidRDefault="00000000">
      <w:r>
        <w:t>6.2 Prior_Edu_School_Location_v1</w:t>
      </w:r>
    </w:p>
    <w:p w14:paraId="7E699DE5" w14:textId="77777777" w:rsidR="00BF24FF" w:rsidRDefault="00000000">
      <w:pPr>
        <w:pStyle w:val="ListBullet"/>
      </w:pPr>
      <w:r>
        <w:t>Normalize by replacing hyphens/spaces with underscores.</w:t>
      </w:r>
    </w:p>
    <w:p w14:paraId="34DB5201" w14:textId="77777777" w:rsidR="00BF24FF" w:rsidRDefault="00000000">
      <w:pPr>
        <w:pStyle w:val="ListBullet"/>
      </w:pPr>
      <w:r>
        <w:t>Remove non‑alphanumeric characters, collapse multiple underscores, and strip edges.</w:t>
      </w:r>
    </w:p>
    <w:p w14:paraId="5CE5B4EC" w14:textId="77777777" w:rsidR="00BF24FF" w:rsidRDefault="00000000">
      <w:pPr>
        <w:pStyle w:val="ListBullet"/>
      </w:pPr>
      <w:r>
        <w:t>Optional casing control; unresolved blanks default to “Unknown”.</w:t>
      </w:r>
    </w:p>
    <w:p w14:paraId="735AA34A" w14:textId="77777777" w:rsidR="00BF24FF" w:rsidRDefault="00000000">
      <w:pPr>
        <w:pStyle w:val="Heading2"/>
      </w:pPr>
      <w:r>
        <w:t>7. Feature Derivation</w:t>
      </w:r>
    </w:p>
    <w:p w14:paraId="77373AC0" w14:textId="77777777" w:rsidR="00BF24FF" w:rsidRDefault="00000000">
      <w:pPr>
        <w:pStyle w:val="ListBullet"/>
      </w:pPr>
      <w:r>
        <w:t>Calendar &amp; duration: Start_Month, Study_Duration_Days.</w:t>
      </w:r>
    </w:p>
    <w:p w14:paraId="1CD5D51C" w14:textId="77777777" w:rsidR="00BF24FF" w:rsidRDefault="00000000">
      <w:pPr>
        <w:pStyle w:val="ListBullet"/>
      </w:pPr>
      <w:r>
        <w:t>Age at start: Age_Start_Years from start date minus date of birth.</w:t>
      </w:r>
    </w:p>
    <w:p w14:paraId="525D424D" w14:textId="77777777" w:rsidR="00BF24FF" w:rsidRDefault="00000000">
      <w:pPr>
        <w:pStyle w:val="ListBullet"/>
      </w:pPr>
      <w:r>
        <w:t>Geography from postcodes: Prior_Postcode4, Home_Postcode4, and Prior_Region_Same_As_Now (1/0).</w:t>
      </w:r>
    </w:p>
    <w:p w14:paraId="5EC5677A" w14:textId="77777777" w:rsidR="00BF24FF" w:rsidRDefault="00000000">
      <w:pPr>
        <w:pStyle w:val="ListBullet"/>
      </w:pPr>
      <w:r>
        <w:t>Credits and ratios: Credits_A_Ratio, Credits_B_Ratio, Credits_Earned_Total, Credits_Potential_Total,   Credits_Ratio_Overall.</w:t>
      </w:r>
    </w:p>
    <w:p w14:paraId="561F958D" w14:textId="77777777" w:rsidR="00BF24FF" w:rsidRDefault="00000000">
      <w:pPr>
        <w:pStyle w:val="ListBullet"/>
      </w:pPr>
      <w:r>
        <w:t>Grades: Avg_Grade_Overall computed as a potential‑weighted average with fallback to the mean of available grades.</w:t>
      </w:r>
    </w:p>
    <w:p w14:paraId="14B92116" w14:textId="77777777" w:rsidR="00BF24FF" w:rsidRDefault="00000000">
      <w:pPr>
        <w:pStyle w:val="ListBullet"/>
      </w:pPr>
      <w:r>
        <w:t>Indicators: Any_Exam (1/0), Skc_Missing (1/0).</w:t>
      </w:r>
    </w:p>
    <w:p w14:paraId="1D36FAD2" w14:textId="77777777" w:rsidR="00BF24FF" w:rsidRDefault="00000000">
      <w:pPr>
        <w:pStyle w:val="Heading2"/>
      </w:pPr>
      <w:r>
        <w:t>8. Source Column Drop (Post‑Derivation)</w:t>
      </w:r>
    </w:p>
    <w:p w14:paraId="61411C1C" w14:textId="77777777" w:rsidR="00BF24FF" w:rsidRDefault="00000000">
      <w:pPr>
        <w:pStyle w:val="ListBullet"/>
      </w:pPr>
      <w:r>
        <w:t>Remove only the immediate source fields used to compute the derived variables (dates, postcodes, SKC/exam flags),</w:t>
      </w:r>
    </w:p>
    <w:p w14:paraId="19E04580" w14:textId="77777777" w:rsidR="00BF24FF" w:rsidRDefault="00000000">
      <w:r>
        <w:t xml:space="preserve">  while retaining the original credit/grade columns for auditability and alternative calculations.</w:t>
      </w:r>
    </w:p>
    <w:p w14:paraId="4BD7057C" w14:textId="77777777" w:rsidR="00BF24FF" w:rsidRDefault="00000000">
      <w:pPr>
        <w:pStyle w:val="Heading2"/>
      </w:pPr>
      <w:r>
        <w:t>9. Column Renaming Policy</w:t>
      </w:r>
    </w:p>
    <w:p w14:paraId="12FA328D" w14:textId="77777777" w:rsidR="00BF24FF" w:rsidRDefault="00000000">
      <w:pPr>
        <w:pStyle w:val="ListBullet"/>
      </w:pPr>
      <w:r>
        <w:t>Convert all column names to Title/Sentence case with underscores (e.g., Study_Duration_Days).</w:t>
      </w:r>
    </w:p>
    <w:p w14:paraId="23721029" w14:textId="77777777" w:rsidR="00BF24FF" w:rsidRDefault="00000000">
      <w:pPr>
        <w:pStyle w:val="ListBullet"/>
      </w:pPr>
      <w:r>
        <w:t>This produces a consistent, human‑readable schema across formerly separate versions.</w:t>
      </w:r>
    </w:p>
    <w:p w14:paraId="69E2AC90" w14:textId="77777777" w:rsidR="00BF24FF" w:rsidRDefault="00000000">
      <w:pPr>
        <w:pStyle w:val="Heading2"/>
      </w:pPr>
      <w:r>
        <w:t>10. Target Variable Cleansing</w:t>
      </w:r>
    </w:p>
    <w:p w14:paraId="38030EF1" w14:textId="77777777" w:rsidR="00BF24FF" w:rsidRDefault="00000000">
      <w:pPr>
        <w:pStyle w:val="ListBullet"/>
      </w:pPr>
      <w:r>
        <w:t>Use the Version 2 dropout indicator as the current target.</w:t>
      </w:r>
    </w:p>
    <w:p w14:paraId="68610C57" w14:textId="77777777" w:rsidR="00BF24FF" w:rsidRDefault="00000000">
      <w:pPr>
        <w:pStyle w:val="ListBullet"/>
      </w:pPr>
      <w:r>
        <w:t>Drop rows with missing target values; the missing count is small relative to total rows,   minimizing information loss.</w:t>
      </w:r>
    </w:p>
    <w:p w14:paraId="6E2348CF" w14:textId="77777777" w:rsidR="00BF24FF" w:rsidRDefault="00000000">
      <w:pPr>
        <w:pStyle w:val="Heading2"/>
      </w:pPr>
      <w:r>
        <w:lastRenderedPageBreak/>
        <w:t>11. Date Coercion</w:t>
      </w:r>
    </w:p>
    <w:p w14:paraId="5AAD19EB" w14:textId="77777777" w:rsidR="00BF24FF" w:rsidRDefault="00000000">
      <w:pPr>
        <w:pStyle w:val="ListBullet"/>
      </w:pPr>
      <w:r>
        <w:t>Convert all columns whose names include “Date” or “Datum” (case‑insensitive) to datetime.</w:t>
      </w:r>
    </w:p>
    <w:p w14:paraId="3DC83BCA" w14:textId="77777777" w:rsidR="00BF24FF" w:rsidRDefault="00000000">
      <w:pPr>
        <w:pStyle w:val="ListBullet"/>
      </w:pPr>
      <w:r>
        <w:t>Invalid entries become NaT; no imputation is applied to datetime fields.</w:t>
      </w:r>
    </w:p>
    <w:p w14:paraId="45AA920B" w14:textId="77777777" w:rsidR="00BF24FF" w:rsidRDefault="00000000">
      <w:pPr>
        <w:pStyle w:val="Heading2"/>
      </w:pPr>
      <w:r>
        <w:t>12. Missing‑Value Imputation Strategy</w:t>
      </w:r>
    </w:p>
    <w:p w14:paraId="3BB18BC9" w14:textId="77777777" w:rsidR="00BF24FF" w:rsidRDefault="00000000">
      <w:pPr>
        <w:pStyle w:val="ListBullet"/>
      </w:pPr>
      <w:r>
        <w:t>Datetime columns: leave as NaT.</w:t>
      </w:r>
    </w:p>
    <w:p w14:paraId="254C650E" w14:textId="77777777" w:rsidR="00BF24FF" w:rsidRDefault="00000000">
      <w:pPr>
        <w:pStyle w:val="ListBullet"/>
      </w:pPr>
      <w:r>
        <w:t>Object/categorical columns: if missing rate ≤ 1% → fill with MODE; otherwise fill with the literal “Missing”.</w:t>
      </w:r>
    </w:p>
    <w:p w14:paraId="7ECD850D" w14:textId="77777777" w:rsidR="00BF24FF" w:rsidRDefault="00000000">
      <w:pPr>
        <w:pStyle w:val="ListBullet"/>
      </w:pPr>
      <w:r>
        <w:t>Specific rule: always fill Sdo5_Collegejaar_V2 with its MODE to maintain numeric integrity.</w:t>
      </w:r>
    </w:p>
    <w:p w14:paraId="2D76420E" w14:textId="77777777" w:rsidR="00BF24FF" w:rsidRDefault="00000000">
      <w:pPr>
        <w:pStyle w:val="ListBullet"/>
      </w:pPr>
      <w:r>
        <w:t>Numeric columns: fill remaining missing values with MEDIAN (excluding Sdo5_Collegejaar_V2 to respect its mode fill).</w:t>
      </w:r>
    </w:p>
    <w:p w14:paraId="2CD0D027" w14:textId="77777777" w:rsidR="00BF24FF" w:rsidRDefault="00000000">
      <w:pPr>
        <w:pStyle w:val="Heading2"/>
      </w:pPr>
      <w:r>
        <w:t>13. Post‑Imputation Hygiene</w:t>
      </w:r>
    </w:p>
    <w:p w14:paraId="61CE436E" w14:textId="77777777" w:rsidR="00BF24FF" w:rsidRDefault="00000000">
      <w:pPr>
        <w:pStyle w:val="ListBullet"/>
      </w:pPr>
      <w:r>
        <w:t>Verify remaining missing values (excluding NaT) are resolved.</w:t>
      </w:r>
    </w:p>
    <w:p w14:paraId="40FDB5F1" w14:textId="77777777" w:rsidR="00BF24FF" w:rsidRDefault="00000000">
      <w:pPr>
        <w:pStyle w:val="ListBullet"/>
      </w:pPr>
      <w:r>
        <w:t>Ensure derived indicators are typed appropriately (e.g., 1/0 as small integers).</w:t>
      </w:r>
    </w:p>
    <w:p w14:paraId="6039B65D" w14:textId="77777777" w:rsidR="00BF24FF" w:rsidRDefault="00000000">
      <w:pPr>
        <w:pStyle w:val="Heading2"/>
      </w:pPr>
      <w:r>
        <w:t>14. Final Pruning for Analysis Readiness</w:t>
      </w:r>
    </w:p>
    <w:p w14:paraId="2116097E" w14:textId="77777777" w:rsidR="00BF24FF" w:rsidRDefault="00000000">
      <w:pPr>
        <w:pStyle w:val="ListBullet"/>
      </w:pPr>
      <w:r>
        <w:t>Remove columns providing limited marginal value for the current analysis scope (e.g., legacy status field,   high‑granularity date components already used to create features, auxiliary identifiers).</w:t>
      </w:r>
    </w:p>
    <w:p w14:paraId="6576FC57" w14:textId="77777777" w:rsidR="00BF24FF" w:rsidRDefault="00000000">
      <w:pPr>
        <w:pStyle w:val="Heading2"/>
      </w:pPr>
      <w:r>
        <w:t>15. Outputs</w:t>
      </w:r>
    </w:p>
    <w:p w14:paraId="20BB8015" w14:textId="77777777" w:rsidR="00BF24FF" w:rsidRDefault="00000000">
      <w:pPr>
        <w:pStyle w:val="ListBullet"/>
      </w:pPr>
      <w:r>
        <w:t>Export the combined, feature‑augmented table to the processed data folder for downstream exploratory work and modeling.</w:t>
      </w:r>
    </w:p>
    <w:p w14:paraId="542D5D60" w14:textId="77777777" w:rsidR="00BF24FF" w:rsidRDefault="00000000">
      <w:pPr>
        <w:pStyle w:val="ListBullet"/>
      </w:pPr>
      <w:r>
        <w:t>The export omits unnamed index columns and reflects the standardized naming policy.</w:t>
      </w:r>
    </w:p>
    <w:p w14:paraId="6B640B1B" w14:textId="77777777" w:rsidR="00BF24FF" w:rsidRDefault="00000000">
      <w:pPr>
        <w:pStyle w:val="Heading2"/>
      </w:pPr>
      <w:r>
        <w:t>16. Governance and Adjustables</w:t>
      </w:r>
    </w:p>
    <w:p w14:paraId="780B05D6" w14:textId="77777777" w:rsidR="00BF24FF" w:rsidRDefault="00000000">
      <w:pPr>
        <w:pStyle w:val="ListBullet"/>
      </w:pPr>
      <w:r>
        <w:t>Thresholds are configurable (e.g., near‑identical match rate; rarity cutoffs for categories; imputation thresholds).</w:t>
      </w:r>
    </w:p>
    <w:p w14:paraId="59EBECD5" w14:textId="77777777" w:rsidR="00BF24FF" w:rsidRDefault="00000000">
      <w:pPr>
        <w:pStyle w:val="ListBullet"/>
      </w:pPr>
      <w:r>
        <w:t>The pipeline is resilient to additional columns and minor schema drift due to suffixing, normalization, and   NaN‑aware comparisons.</w:t>
      </w:r>
    </w:p>
    <w:p w14:paraId="4AE99E97" w14:textId="77777777" w:rsidR="00BF24FF" w:rsidRDefault="00000000">
      <w:pPr>
        <w:pStyle w:val="ListBullet"/>
      </w:pPr>
      <w:r>
        <w:t>All steps are deterministic and reproducible with clear version provenance via the _v1/_v2 suffixes and final renaming.</w:t>
      </w:r>
    </w:p>
    <w:sectPr w:rsidR="00BF2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raukje Coopmans" w:date="2025-08-29T13:52:00Z" w:initials="FC">
    <w:p w14:paraId="74FB9A9E" w14:textId="77777777" w:rsidR="00231626" w:rsidRDefault="00231626" w:rsidP="00231626">
      <w:pPr>
        <w:pStyle w:val="CommentText"/>
      </w:pPr>
      <w:r>
        <w:rPr>
          <w:rStyle w:val="CommentReference"/>
        </w:rPr>
        <w:annotationRef/>
      </w:r>
      <w:r>
        <w:t xml:space="preserve">Why are there comments in the notebook as well as in this doc? Would be handy to have 1 place for documentation. </w:t>
      </w:r>
    </w:p>
  </w:comment>
  <w:comment w:id="1" w:author="Fraukje Coopmans" w:date="2025-08-29T13:41:00Z" w:initials="FC">
    <w:p w14:paraId="00F7A12A" w14:textId="14992AF6" w:rsidR="0074682A" w:rsidRDefault="0074682A" w:rsidP="0074682A">
      <w:pPr>
        <w:pStyle w:val="CommentText"/>
      </w:pPr>
      <w:r>
        <w:rPr>
          <w:rStyle w:val="CommentReference"/>
        </w:rPr>
        <w:annotationRef/>
      </w:r>
      <w:r>
        <w:t xml:space="preserve">V1 and V2 contain mostly the same records and mostly more columns. Combining datasets is not necessary.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FB9A9E" w15:done="0"/>
  <w15:commentEx w15:paraId="00F7A1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C59E4F" w16cex:dateUtc="2025-08-29T11:52:00Z"/>
  <w16cex:commentExtensible w16cex:durableId="3BB24D09" w16cex:dateUtc="2025-08-29T11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FB9A9E" w16cid:durableId="18C59E4F"/>
  <w16cid:commentId w16cid:paraId="00F7A12A" w16cid:durableId="3BB24D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840975">
    <w:abstractNumId w:val="8"/>
  </w:num>
  <w:num w:numId="2" w16cid:durableId="1937133254">
    <w:abstractNumId w:val="6"/>
  </w:num>
  <w:num w:numId="3" w16cid:durableId="48263893">
    <w:abstractNumId w:val="5"/>
  </w:num>
  <w:num w:numId="4" w16cid:durableId="1648047118">
    <w:abstractNumId w:val="4"/>
  </w:num>
  <w:num w:numId="5" w16cid:durableId="1928996357">
    <w:abstractNumId w:val="7"/>
  </w:num>
  <w:num w:numId="6" w16cid:durableId="1245064775">
    <w:abstractNumId w:val="3"/>
  </w:num>
  <w:num w:numId="7" w16cid:durableId="2047102502">
    <w:abstractNumId w:val="2"/>
  </w:num>
  <w:num w:numId="8" w16cid:durableId="1451897139">
    <w:abstractNumId w:val="1"/>
  </w:num>
  <w:num w:numId="9" w16cid:durableId="7691567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ukje Coopmans">
    <w15:presenceInfo w15:providerId="AD" w15:userId="S::fraukje.coopmans@hu.nl::2b4020e5-6d0a-48ee-b496-d2862d6fdd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626"/>
    <w:rsid w:val="0029639D"/>
    <w:rsid w:val="00326F90"/>
    <w:rsid w:val="0074682A"/>
    <w:rsid w:val="00991DED"/>
    <w:rsid w:val="00AA1D8D"/>
    <w:rsid w:val="00B47730"/>
    <w:rsid w:val="00BF24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7918367-6D09-4C74-916D-EE04D2C31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468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68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68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68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68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766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Fraukje Coopmans</cp:lastModifiedBy>
  <cp:revision>3</cp:revision>
  <dcterms:created xsi:type="dcterms:W3CDTF">2013-12-23T23:15:00Z</dcterms:created>
  <dcterms:modified xsi:type="dcterms:W3CDTF">2025-08-29T11:52:00Z</dcterms:modified>
  <cp:category/>
</cp:coreProperties>
</file>