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65D9" w:rsidRPr="00EB7717" w:rsidRDefault="00EB7717" w:rsidP="00EB7717">
      <w:pPr>
        <w:rPr>
          <w:b/>
          <w:bCs/>
          <w:sz w:val="40"/>
          <w:szCs w:val="40"/>
        </w:rPr>
      </w:pPr>
      <w:proofErr w:type="spellStart"/>
      <w:r w:rsidRPr="00EB7717">
        <w:rPr>
          <w:b/>
          <w:bCs/>
          <w:sz w:val="40"/>
          <w:szCs w:val="40"/>
        </w:rPr>
        <w:t>WonderQueue</w:t>
      </w:r>
      <w:proofErr w:type="spellEnd"/>
    </w:p>
    <w:p w:rsidR="00EB7717" w:rsidRPr="00EB7717" w:rsidRDefault="00EB7717" w:rsidP="00EB7717">
      <w:pPr>
        <w:rPr>
          <w:b/>
          <w:bCs/>
          <w:sz w:val="40"/>
          <w:szCs w:val="40"/>
        </w:rPr>
      </w:pPr>
    </w:p>
    <w:p w:rsidR="00EB7717" w:rsidRDefault="00EB7717" w:rsidP="00EB7717">
      <w:r w:rsidRPr="00EB7717">
        <w:t xml:space="preserve">Wonder Queue is a test development </w:t>
      </w:r>
      <w:r>
        <w:t>to address backend skills, implementing queue storage, in this case we develop the storage and library to manipulate our queue with local storage. To describe this project we detail all the main libraries used:</w:t>
      </w:r>
    </w:p>
    <w:p w:rsidR="00EB7717" w:rsidRDefault="00EB7717" w:rsidP="00EB7717"/>
    <w:p w:rsidR="00EB7717" w:rsidRDefault="00EB7717" w:rsidP="00EB7717">
      <w:pPr>
        <w:pStyle w:val="ListParagraph"/>
        <w:numPr>
          <w:ilvl w:val="0"/>
          <w:numId w:val="1"/>
        </w:numPr>
        <w:rPr>
          <w:lang w:val="en-US"/>
        </w:rPr>
      </w:pPr>
      <w:r>
        <w:rPr>
          <w:lang w:val="en-US"/>
        </w:rPr>
        <w:t>Typescript: as a programming standard.</w:t>
      </w:r>
    </w:p>
    <w:p w:rsidR="00EB7717" w:rsidRDefault="00EB7717" w:rsidP="00EB7717">
      <w:pPr>
        <w:pStyle w:val="ListParagraph"/>
        <w:numPr>
          <w:ilvl w:val="0"/>
          <w:numId w:val="1"/>
        </w:numPr>
        <w:rPr>
          <w:lang w:val="en-US"/>
        </w:rPr>
      </w:pPr>
      <w:r>
        <w:rPr>
          <w:lang w:val="en-US"/>
        </w:rPr>
        <w:t>Express: set our restful API.</w:t>
      </w:r>
    </w:p>
    <w:p w:rsidR="00EB7717" w:rsidRDefault="00EB7717" w:rsidP="00EB7717">
      <w:pPr>
        <w:pStyle w:val="ListParagraph"/>
        <w:numPr>
          <w:ilvl w:val="0"/>
          <w:numId w:val="1"/>
        </w:numPr>
        <w:rPr>
          <w:lang w:val="en-US"/>
        </w:rPr>
      </w:pPr>
      <w:proofErr w:type="spellStart"/>
      <w:r>
        <w:rPr>
          <w:lang w:val="en-US"/>
        </w:rPr>
        <w:t>Lokijs</w:t>
      </w:r>
      <w:proofErr w:type="spellEnd"/>
      <w:r>
        <w:rPr>
          <w:lang w:val="en-US"/>
        </w:rPr>
        <w:t xml:space="preserve">: manage our JavaScript in-memory. </w:t>
      </w:r>
    </w:p>
    <w:p w:rsidR="00EB7717" w:rsidRDefault="00EB7717" w:rsidP="00EB7717">
      <w:pPr>
        <w:pStyle w:val="ListParagraph"/>
        <w:numPr>
          <w:ilvl w:val="0"/>
          <w:numId w:val="1"/>
        </w:numPr>
        <w:rPr>
          <w:lang w:val="en-US"/>
        </w:rPr>
      </w:pPr>
      <w:proofErr w:type="spellStart"/>
      <w:r>
        <w:rPr>
          <w:lang w:val="en-US"/>
        </w:rPr>
        <w:t>Momentjs</w:t>
      </w:r>
      <w:proofErr w:type="spellEnd"/>
      <w:r>
        <w:rPr>
          <w:lang w:val="en-US"/>
        </w:rPr>
        <w:t>: manipulate dates and times.</w:t>
      </w:r>
    </w:p>
    <w:p w:rsidR="00EB7717" w:rsidRDefault="00EB7717" w:rsidP="00EB7717">
      <w:pPr>
        <w:pStyle w:val="ListParagraph"/>
        <w:numPr>
          <w:ilvl w:val="0"/>
          <w:numId w:val="1"/>
        </w:numPr>
        <w:rPr>
          <w:lang w:val="en-US"/>
        </w:rPr>
      </w:pPr>
      <w:proofErr w:type="spellStart"/>
      <w:r>
        <w:rPr>
          <w:lang w:val="en-US"/>
        </w:rPr>
        <w:t>Jestjs</w:t>
      </w:r>
      <w:proofErr w:type="spellEnd"/>
      <w:r>
        <w:rPr>
          <w:lang w:val="en-US"/>
        </w:rPr>
        <w:t>: run our TDD</w:t>
      </w:r>
    </w:p>
    <w:p w:rsidR="00EB7717" w:rsidRDefault="00EB7717" w:rsidP="00EB7717">
      <w:pPr>
        <w:pStyle w:val="ListParagraph"/>
        <w:numPr>
          <w:ilvl w:val="0"/>
          <w:numId w:val="1"/>
        </w:numPr>
        <w:rPr>
          <w:lang w:val="en-US"/>
        </w:rPr>
      </w:pPr>
      <w:proofErr w:type="spellStart"/>
      <w:r>
        <w:rPr>
          <w:lang w:val="en-US"/>
        </w:rPr>
        <w:t>Nodemon</w:t>
      </w:r>
      <w:proofErr w:type="spellEnd"/>
      <w:r>
        <w:rPr>
          <w:lang w:val="en-US"/>
        </w:rPr>
        <w:t>: hot reloading</w:t>
      </w:r>
    </w:p>
    <w:p w:rsidR="00EB7717" w:rsidRDefault="00EB7717" w:rsidP="00EB7717"/>
    <w:p w:rsidR="00EB7717" w:rsidRDefault="00EB7717" w:rsidP="00EB7717">
      <w:r>
        <w:t>Main functionalities of our queue storage management:</w:t>
      </w:r>
    </w:p>
    <w:p w:rsidR="00EB7717" w:rsidRDefault="00EB7717" w:rsidP="00EB7717"/>
    <w:p w:rsidR="00EB7717" w:rsidRDefault="00EB7717" w:rsidP="00EB7717">
      <w:pPr>
        <w:pStyle w:val="ListParagraph"/>
        <w:numPr>
          <w:ilvl w:val="0"/>
          <w:numId w:val="1"/>
        </w:numPr>
        <w:rPr>
          <w:lang w:val="en-US"/>
        </w:rPr>
      </w:pPr>
      <w:r>
        <w:rPr>
          <w:lang w:val="en-US"/>
        </w:rPr>
        <w:t>In our .env we have defined our default queue, it means that we can call almost all our methods without specify queue.</w:t>
      </w:r>
    </w:p>
    <w:p w:rsidR="00EB7717" w:rsidRDefault="00EB7717" w:rsidP="00EB7717">
      <w:pPr>
        <w:pStyle w:val="ListParagraph"/>
        <w:numPr>
          <w:ilvl w:val="0"/>
          <w:numId w:val="1"/>
        </w:numPr>
        <w:rPr>
          <w:lang w:val="en-US"/>
        </w:rPr>
      </w:pPr>
      <w:r>
        <w:rPr>
          <w:lang w:val="en-US"/>
        </w:rPr>
        <w:t>We can create new queues.</w:t>
      </w:r>
    </w:p>
    <w:p w:rsidR="00EB7717" w:rsidRDefault="00EB7717" w:rsidP="00EB7717">
      <w:pPr>
        <w:pStyle w:val="ListParagraph"/>
        <w:numPr>
          <w:ilvl w:val="0"/>
          <w:numId w:val="1"/>
        </w:numPr>
        <w:rPr>
          <w:lang w:val="en-US"/>
        </w:rPr>
      </w:pPr>
      <w:r>
        <w:rPr>
          <w:lang w:val="en-US"/>
        </w:rPr>
        <w:t xml:space="preserve">In our .env we have defined our default expiration time, this integer is expressed in seconds. </w:t>
      </w:r>
    </w:p>
    <w:p w:rsidR="00EB7717" w:rsidRDefault="00EB7717" w:rsidP="00EB7717">
      <w:pPr>
        <w:pStyle w:val="ListParagraph"/>
        <w:numPr>
          <w:ilvl w:val="0"/>
          <w:numId w:val="1"/>
        </w:numPr>
        <w:rPr>
          <w:lang w:val="en-US"/>
        </w:rPr>
      </w:pPr>
      <w:r>
        <w:rPr>
          <w:lang w:val="en-US"/>
        </w:rPr>
        <w:t>We develop and independent method to subscribed a worker in a queue. It was intentional to test</w:t>
      </w:r>
      <w:r w:rsidR="00EA6A93">
        <w:rPr>
          <w:lang w:val="en-US"/>
        </w:rPr>
        <w:t xml:space="preserve"> when a client try to access messages already taken</w:t>
      </w:r>
      <w:r>
        <w:rPr>
          <w:lang w:val="en-US"/>
        </w:rPr>
        <w:t xml:space="preserve"> </w:t>
      </w:r>
      <w:r w:rsidR="00EA6A93">
        <w:rPr>
          <w:lang w:val="en-US"/>
        </w:rPr>
        <w:t>and how we can still adding new messages and how we can run a new worker and take these new ones. It mean that we can have many workers doing operation in the same queue but they are dealing with different messages. (on testing definitions these case are more clear)</w:t>
      </w:r>
    </w:p>
    <w:p w:rsidR="00EA6A93" w:rsidRDefault="00EA6A93" w:rsidP="00EB7717">
      <w:pPr>
        <w:pStyle w:val="ListParagraph"/>
        <w:numPr>
          <w:ilvl w:val="0"/>
          <w:numId w:val="1"/>
        </w:numPr>
        <w:rPr>
          <w:lang w:val="en-US"/>
        </w:rPr>
      </w:pPr>
      <w:r>
        <w:rPr>
          <w:lang w:val="en-US"/>
        </w:rPr>
        <w:t xml:space="preserve">we can write a batch of messages and receive a poll of ids as response. </w:t>
      </w:r>
    </w:p>
    <w:p w:rsidR="00EA6A93" w:rsidRDefault="00EA6A93" w:rsidP="00EB7717">
      <w:pPr>
        <w:pStyle w:val="ListParagraph"/>
        <w:numPr>
          <w:ilvl w:val="0"/>
          <w:numId w:val="1"/>
        </w:numPr>
        <w:rPr>
          <w:lang w:val="en-US"/>
        </w:rPr>
      </w:pPr>
      <w:r>
        <w:rPr>
          <w:lang w:val="en-US"/>
        </w:rPr>
        <w:t xml:space="preserve">To </w:t>
      </w:r>
      <w:r w:rsidRPr="00EA6A93">
        <w:rPr>
          <w:lang w:val="en-US"/>
        </w:rPr>
        <w:t>guarantee</w:t>
      </w:r>
      <w:r>
        <w:rPr>
          <w:lang w:val="en-US"/>
        </w:rPr>
        <w:t xml:space="preserve"> a full execution of our workers each time a message is shift out the subscription’s queue expiration dates are updated by the same process. </w:t>
      </w:r>
    </w:p>
    <w:p w:rsidR="00EA6A93" w:rsidRDefault="00EA6A93" w:rsidP="00EA6A93"/>
    <w:p w:rsidR="00EA6A93" w:rsidRDefault="00EA6A93" w:rsidP="00EA6A93">
      <w:r>
        <w:t>Endpoints definitions:</w:t>
      </w:r>
    </w:p>
    <w:p w:rsidR="00EA6A93" w:rsidRDefault="00EA6A93" w:rsidP="00EA6A93"/>
    <w:tbl>
      <w:tblPr>
        <w:tblStyle w:val="TableGrid"/>
        <w:tblW w:w="0" w:type="auto"/>
        <w:tblLook w:val="04A0" w:firstRow="1" w:lastRow="0" w:firstColumn="1" w:lastColumn="0" w:noHBand="0" w:noVBand="1"/>
      </w:tblPr>
      <w:tblGrid>
        <w:gridCol w:w="4675"/>
        <w:gridCol w:w="4675"/>
      </w:tblGrid>
      <w:tr w:rsidR="00EA6A93" w:rsidTr="00EA6A93">
        <w:tc>
          <w:tcPr>
            <w:tcW w:w="4675" w:type="dxa"/>
          </w:tcPr>
          <w:p w:rsidR="00EA6A93" w:rsidRDefault="00EA6A93" w:rsidP="00EA6A93">
            <w:r>
              <w:t>Endpoint</w:t>
            </w:r>
          </w:p>
        </w:tc>
        <w:tc>
          <w:tcPr>
            <w:tcW w:w="4675" w:type="dxa"/>
          </w:tcPr>
          <w:p w:rsidR="00EA6A93" w:rsidRDefault="00EA6A93" w:rsidP="00EA6A93">
            <w:r>
              <w:t>/queue</w:t>
            </w:r>
          </w:p>
        </w:tc>
      </w:tr>
      <w:tr w:rsidR="00EA6A93" w:rsidTr="00EA6A93">
        <w:tc>
          <w:tcPr>
            <w:tcW w:w="4675" w:type="dxa"/>
          </w:tcPr>
          <w:p w:rsidR="00EA6A93" w:rsidRDefault="00EA6A93" w:rsidP="00EA6A93">
            <w:r>
              <w:t>Method</w:t>
            </w:r>
          </w:p>
        </w:tc>
        <w:tc>
          <w:tcPr>
            <w:tcW w:w="4675" w:type="dxa"/>
          </w:tcPr>
          <w:p w:rsidR="00EA6A93" w:rsidRDefault="00EA6A93" w:rsidP="00EA6A93">
            <w:r>
              <w:t>GET</w:t>
            </w:r>
          </w:p>
        </w:tc>
      </w:tr>
      <w:tr w:rsidR="00EA6A93" w:rsidTr="00EA6A93">
        <w:tc>
          <w:tcPr>
            <w:tcW w:w="4675" w:type="dxa"/>
          </w:tcPr>
          <w:p w:rsidR="00EA6A93" w:rsidRDefault="00EA6A93" w:rsidP="00EA6A93">
            <w:r>
              <w:t>payload</w:t>
            </w:r>
          </w:p>
        </w:tc>
        <w:tc>
          <w:tcPr>
            <w:tcW w:w="4675" w:type="dxa"/>
          </w:tcPr>
          <w:p w:rsidR="00EA6A93" w:rsidRDefault="00EA6A93" w:rsidP="00EA6A93">
            <w:r>
              <w:t>-</w:t>
            </w:r>
          </w:p>
        </w:tc>
      </w:tr>
      <w:tr w:rsidR="00EA6A93" w:rsidTr="00EA6A93">
        <w:tc>
          <w:tcPr>
            <w:tcW w:w="4675" w:type="dxa"/>
          </w:tcPr>
          <w:p w:rsidR="00EA6A93" w:rsidRDefault="00EA6A93" w:rsidP="00EA6A93">
            <w:r>
              <w:t>response</w:t>
            </w:r>
          </w:p>
        </w:tc>
        <w:tc>
          <w:tcPr>
            <w:tcW w:w="4675" w:type="dxa"/>
          </w:tcPr>
          <w:p w:rsidR="00EA6A93" w:rsidRDefault="00EA6A93" w:rsidP="00EA6A93">
            <w:r w:rsidRPr="00EA6A93">
              <w:drawing>
                <wp:inline distT="0" distB="0" distL="0" distR="0" wp14:anchorId="625BB13B" wp14:editId="24DE159F">
                  <wp:extent cx="2413000"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3000" cy="1016000"/>
                          </a:xfrm>
                          <a:prstGeom prst="rect">
                            <a:avLst/>
                          </a:prstGeom>
                        </pic:spPr>
                      </pic:pic>
                    </a:graphicData>
                  </a:graphic>
                </wp:inline>
              </w:drawing>
            </w:r>
          </w:p>
        </w:tc>
      </w:tr>
      <w:tr w:rsidR="00EA6A93" w:rsidTr="00EA6A93">
        <w:tc>
          <w:tcPr>
            <w:tcW w:w="4675" w:type="dxa"/>
          </w:tcPr>
          <w:p w:rsidR="00EA6A93" w:rsidRDefault="00EA6A93" w:rsidP="00EA6A93">
            <w:r>
              <w:t>Description</w:t>
            </w:r>
          </w:p>
        </w:tc>
        <w:tc>
          <w:tcPr>
            <w:tcW w:w="4675" w:type="dxa"/>
          </w:tcPr>
          <w:p w:rsidR="00EA6A93" w:rsidRPr="00EA6A93" w:rsidRDefault="00EA6A93" w:rsidP="00EA6A93">
            <w:r>
              <w:t>This endpoint return size of our default queue</w:t>
            </w:r>
          </w:p>
        </w:tc>
      </w:tr>
    </w:tbl>
    <w:p w:rsidR="00EA6A93" w:rsidRDefault="00EA6A93" w:rsidP="00EA6A93"/>
    <w:tbl>
      <w:tblPr>
        <w:tblStyle w:val="TableGrid"/>
        <w:tblW w:w="0" w:type="auto"/>
        <w:tblLook w:val="04A0" w:firstRow="1" w:lastRow="0" w:firstColumn="1" w:lastColumn="0" w:noHBand="0" w:noVBand="1"/>
      </w:tblPr>
      <w:tblGrid>
        <w:gridCol w:w="4675"/>
        <w:gridCol w:w="4675"/>
      </w:tblGrid>
      <w:tr w:rsidR="00EA6A93" w:rsidTr="00C55136">
        <w:tc>
          <w:tcPr>
            <w:tcW w:w="4675" w:type="dxa"/>
          </w:tcPr>
          <w:p w:rsidR="00EA6A93" w:rsidRDefault="00EA6A93" w:rsidP="00C55136">
            <w:r>
              <w:t>Endpoint</w:t>
            </w:r>
          </w:p>
        </w:tc>
        <w:tc>
          <w:tcPr>
            <w:tcW w:w="4675" w:type="dxa"/>
          </w:tcPr>
          <w:p w:rsidR="00EA6A93" w:rsidRDefault="00EA6A93" w:rsidP="00C55136">
            <w:r>
              <w:t>/queue</w:t>
            </w:r>
            <w:r>
              <w:t>/:name</w:t>
            </w:r>
          </w:p>
        </w:tc>
      </w:tr>
      <w:tr w:rsidR="00EA6A93" w:rsidTr="00C55136">
        <w:tc>
          <w:tcPr>
            <w:tcW w:w="4675" w:type="dxa"/>
          </w:tcPr>
          <w:p w:rsidR="00EA6A93" w:rsidRDefault="00EA6A93" w:rsidP="00C55136">
            <w:r>
              <w:t>Method</w:t>
            </w:r>
          </w:p>
        </w:tc>
        <w:tc>
          <w:tcPr>
            <w:tcW w:w="4675" w:type="dxa"/>
          </w:tcPr>
          <w:p w:rsidR="00EA6A93" w:rsidRDefault="00EA6A93" w:rsidP="00C55136">
            <w:r>
              <w:t>GET</w:t>
            </w:r>
          </w:p>
        </w:tc>
      </w:tr>
      <w:tr w:rsidR="00EA6A93" w:rsidTr="00C55136">
        <w:tc>
          <w:tcPr>
            <w:tcW w:w="4675" w:type="dxa"/>
          </w:tcPr>
          <w:p w:rsidR="00EA6A93" w:rsidRDefault="00EA6A93" w:rsidP="00C55136">
            <w:r>
              <w:lastRenderedPageBreak/>
              <w:t>payload</w:t>
            </w:r>
          </w:p>
        </w:tc>
        <w:tc>
          <w:tcPr>
            <w:tcW w:w="4675" w:type="dxa"/>
          </w:tcPr>
          <w:p w:rsidR="00EA6A93" w:rsidRDefault="00EA6A93" w:rsidP="00C55136">
            <w:r>
              <w:t>-</w:t>
            </w:r>
          </w:p>
        </w:tc>
      </w:tr>
      <w:tr w:rsidR="00EA6A93" w:rsidTr="00C55136">
        <w:tc>
          <w:tcPr>
            <w:tcW w:w="4675" w:type="dxa"/>
          </w:tcPr>
          <w:p w:rsidR="00EA6A93" w:rsidRDefault="00EA6A93" w:rsidP="00C55136">
            <w:r>
              <w:t>response</w:t>
            </w:r>
          </w:p>
        </w:tc>
        <w:tc>
          <w:tcPr>
            <w:tcW w:w="4675" w:type="dxa"/>
          </w:tcPr>
          <w:p w:rsidR="00EA6A93" w:rsidRDefault="00EA6A93" w:rsidP="00C55136">
            <w:r w:rsidRPr="00EA6A93">
              <w:drawing>
                <wp:inline distT="0" distB="0" distL="0" distR="0" wp14:anchorId="3F59D605" wp14:editId="7474515C">
                  <wp:extent cx="2413000" cy="101600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5"/>
                          <a:stretch>
                            <a:fillRect/>
                          </a:stretch>
                        </pic:blipFill>
                        <pic:spPr>
                          <a:xfrm>
                            <a:off x="0" y="0"/>
                            <a:ext cx="2413000" cy="1016000"/>
                          </a:xfrm>
                          <a:prstGeom prst="rect">
                            <a:avLst/>
                          </a:prstGeom>
                        </pic:spPr>
                      </pic:pic>
                    </a:graphicData>
                  </a:graphic>
                </wp:inline>
              </w:drawing>
            </w:r>
          </w:p>
        </w:tc>
      </w:tr>
      <w:tr w:rsidR="00EA6A93" w:rsidTr="00C55136">
        <w:tc>
          <w:tcPr>
            <w:tcW w:w="4675" w:type="dxa"/>
          </w:tcPr>
          <w:p w:rsidR="00EA6A93" w:rsidRDefault="00EA6A93" w:rsidP="00C55136">
            <w:r>
              <w:t>Description</w:t>
            </w:r>
          </w:p>
        </w:tc>
        <w:tc>
          <w:tcPr>
            <w:tcW w:w="4675" w:type="dxa"/>
          </w:tcPr>
          <w:p w:rsidR="00EA6A93" w:rsidRPr="00EA6A93" w:rsidRDefault="00EA6A93" w:rsidP="00C55136">
            <w:r>
              <w:t xml:space="preserve">This endpoint return size of </w:t>
            </w:r>
            <w:r>
              <w:t xml:space="preserve">specific queue passed by parameter in </w:t>
            </w:r>
            <w:r w:rsidR="00612921">
              <w:t>URL</w:t>
            </w:r>
          </w:p>
        </w:tc>
      </w:tr>
    </w:tbl>
    <w:p w:rsidR="00612921" w:rsidRDefault="00612921"/>
    <w:tbl>
      <w:tblPr>
        <w:tblStyle w:val="TableGrid"/>
        <w:tblW w:w="0" w:type="auto"/>
        <w:tblLook w:val="04A0" w:firstRow="1" w:lastRow="0" w:firstColumn="1" w:lastColumn="0" w:noHBand="0" w:noVBand="1"/>
      </w:tblPr>
      <w:tblGrid>
        <w:gridCol w:w="3607"/>
        <w:gridCol w:w="5743"/>
      </w:tblGrid>
      <w:tr w:rsidR="00612921" w:rsidTr="00C55136">
        <w:tc>
          <w:tcPr>
            <w:tcW w:w="4675" w:type="dxa"/>
          </w:tcPr>
          <w:p w:rsidR="00612921" w:rsidRDefault="00612921" w:rsidP="00C55136">
            <w:r>
              <w:t>Endpoint</w:t>
            </w:r>
          </w:p>
        </w:tc>
        <w:tc>
          <w:tcPr>
            <w:tcW w:w="4675" w:type="dxa"/>
          </w:tcPr>
          <w:p w:rsidR="00612921" w:rsidRDefault="00612921" w:rsidP="00C55136">
            <w:r>
              <w:t>/queue</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t>payload</w:t>
            </w:r>
          </w:p>
        </w:tc>
        <w:tc>
          <w:tcPr>
            <w:tcW w:w="4675" w:type="dxa"/>
          </w:tcPr>
          <w:p w:rsidR="00612921" w:rsidRDefault="00612921" w:rsidP="00C55136">
            <w:r w:rsidRPr="00612921">
              <w:drawing>
                <wp:inline distT="0" distB="0" distL="0" distR="0" wp14:anchorId="12B88914" wp14:editId="4C6F7771">
                  <wp:extent cx="3509882" cy="9007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4348" cy="90956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drawing>
                <wp:inline distT="0" distB="0" distL="0" distR="0" wp14:anchorId="6CC20548" wp14:editId="56F8B338">
                  <wp:extent cx="1666067" cy="57495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89741" cy="5831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 xml:space="preserve">This endpoint </w:t>
            </w:r>
            <w:r>
              <w:t>create a new queue</w:t>
            </w:r>
          </w:p>
        </w:tc>
      </w:tr>
    </w:tbl>
    <w:p w:rsidR="00612921" w:rsidRDefault="00612921"/>
    <w:p w:rsidR="00612921" w:rsidRDefault="00612921"/>
    <w:tbl>
      <w:tblPr>
        <w:tblStyle w:val="TableGrid"/>
        <w:tblW w:w="0" w:type="auto"/>
        <w:tblLook w:val="04A0" w:firstRow="1" w:lastRow="0" w:firstColumn="1" w:lastColumn="0" w:noHBand="0" w:noVBand="1"/>
      </w:tblPr>
      <w:tblGrid>
        <w:gridCol w:w="4675"/>
        <w:gridCol w:w="4675"/>
      </w:tblGrid>
      <w:tr w:rsidR="00612921" w:rsidTr="00C55136">
        <w:tc>
          <w:tcPr>
            <w:tcW w:w="4675" w:type="dxa"/>
          </w:tcPr>
          <w:p w:rsidR="00612921" w:rsidRDefault="00612921" w:rsidP="00C55136">
            <w:r>
              <w:t>Endpoint</w:t>
            </w:r>
          </w:p>
        </w:tc>
        <w:tc>
          <w:tcPr>
            <w:tcW w:w="4675" w:type="dxa"/>
          </w:tcPr>
          <w:p w:rsidR="00612921" w:rsidRDefault="00612921" w:rsidP="00C55136">
            <w:r>
              <w:t>/writer</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t>payload</w:t>
            </w:r>
          </w:p>
        </w:tc>
        <w:tc>
          <w:tcPr>
            <w:tcW w:w="4675" w:type="dxa"/>
          </w:tcPr>
          <w:p w:rsidR="00612921" w:rsidRDefault="00612921" w:rsidP="00C55136">
            <w:r w:rsidRPr="00612921">
              <w:drawing>
                <wp:inline distT="0" distB="0" distL="0" distR="0" wp14:anchorId="1963DB7F" wp14:editId="26E8569A">
                  <wp:extent cx="1286359" cy="1113961"/>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03257" cy="112859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drawing>
                <wp:inline distT="0" distB="0" distL="0" distR="0" wp14:anchorId="58A4FEE9" wp14:editId="01ADDA2A">
                  <wp:extent cx="1934237" cy="774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49240" cy="7809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Insert new messages in our default queue</w:t>
            </w:r>
          </w:p>
        </w:tc>
      </w:tr>
    </w:tbl>
    <w:p w:rsidR="00612921" w:rsidRDefault="00612921"/>
    <w:tbl>
      <w:tblPr>
        <w:tblStyle w:val="TableGrid"/>
        <w:tblW w:w="0" w:type="auto"/>
        <w:tblLook w:val="04A0" w:firstRow="1" w:lastRow="0" w:firstColumn="1" w:lastColumn="0" w:noHBand="0" w:noVBand="1"/>
      </w:tblPr>
      <w:tblGrid>
        <w:gridCol w:w="4675"/>
        <w:gridCol w:w="4675"/>
      </w:tblGrid>
      <w:tr w:rsidR="00612921" w:rsidTr="00C55136">
        <w:tc>
          <w:tcPr>
            <w:tcW w:w="4675" w:type="dxa"/>
          </w:tcPr>
          <w:p w:rsidR="00612921" w:rsidRDefault="00612921" w:rsidP="00C55136">
            <w:r>
              <w:t>Endpoint</w:t>
            </w:r>
          </w:p>
        </w:tc>
        <w:tc>
          <w:tcPr>
            <w:tcW w:w="4675" w:type="dxa"/>
          </w:tcPr>
          <w:p w:rsidR="00612921" w:rsidRDefault="00612921" w:rsidP="00C55136">
            <w:r>
              <w:t>/writer</w:t>
            </w:r>
          </w:p>
        </w:tc>
      </w:tr>
      <w:tr w:rsidR="00612921" w:rsidTr="00C55136">
        <w:tc>
          <w:tcPr>
            <w:tcW w:w="4675" w:type="dxa"/>
          </w:tcPr>
          <w:p w:rsidR="00612921" w:rsidRDefault="00612921" w:rsidP="00C55136">
            <w:r>
              <w:t>Method</w:t>
            </w:r>
          </w:p>
        </w:tc>
        <w:tc>
          <w:tcPr>
            <w:tcW w:w="4675" w:type="dxa"/>
          </w:tcPr>
          <w:p w:rsidR="00612921" w:rsidRDefault="00612921" w:rsidP="00C55136">
            <w:r>
              <w:t>POST</w:t>
            </w:r>
          </w:p>
        </w:tc>
      </w:tr>
      <w:tr w:rsidR="00612921" w:rsidTr="00C55136">
        <w:tc>
          <w:tcPr>
            <w:tcW w:w="4675" w:type="dxa"/>
          </w:tcPr>
          <w:p w:rsidR="00612921" w:rsidRDefault="00612921" w:rsidP="00C55136">
            <w:r>
              <w:lastRenderedPageBreak/>
              <w:t>payload</w:t>
            </w:r>
          </w:p>
        </w:tc>
        <w:tc>
          <w:tcPr>
            <w:tcW w:w="4675" w:type="dxa"/>
          </w:tcPr>
          <w:p w:rsidR="00612921" w:rsidRDefault="00612921" w:rsidP="00C55136">
            <w:r w:rsidRPr="00612921">
              <w:drawing>
                <wp:inline distT="0" distB="0" distL="0" distR="0" wp14:anchorId="593D4252" wp14:editId="0302B8E3">
                  <wp:extent cx="2038027" cy="1159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59692" cy="1171560"/>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drawing>
                <wp:inline distT="0" distB="0" distL="0" distR="0" wp14:anchorId="0FB29C0F" wp14:editId="5219AC43">
                  <wp:extent cx="1934237" cy="7749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1949240" cy="780926"/>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As we can see we only need add attribute queue in our payload to specify a queue already created.</w:t>
            </w:r>
          </w:p>
        </w:tc>
      </w:tr>
    </w:tbl>
    <w:p w:rsidR="00612921" w:rsidRDefault="00612921"/>
    <w:tbl>
      <w:tblPr>
        <w:tblStyle w:val="TableGrid"/>
        <w:tblW w:w="0" w:type="auto"/>
        <w:tblLook w:val="04A0" w:firstRow="1" w:lastRow="0" w:firstColumn="1" w:lastColumn="0" w:noHBand="0" w:noVBand="1"/>
      </w:tblPr>
      <w:tblGrid>
        <w:gridCol w:w="3765"/>
        <w:gridCol w:w="5585"/>
      </w:tblGrid>
      <w:tr w:rsidR="00612921" w:rsidTr="00C55136">
        <w:tc>
          <w:tcPr>
            <w:tcW w:w="4675" w:type="dxa"/>
          </w:tcPr>
          <w:p w:rsidR="00612921" w:rsidRDefault="00612921" w:rsidP="00C55136">
            <w:r>
              <w:t>Endpoint</w:t>
            </w:r>
          </w:p>
        </w:tc>
        <w:tc>
          <w:tcPr>
            <w:tcW w:w="4675" w:type="dxa"/>
          </w:tcPr>
          <w:p w:rsidR="00612921" w:rsidRDefault="00612921" w:rsidP="00C55136">
            <w:r>
              <w:t>/</w:t>
            </w:r>
            <w:r>
              <w:t>queue</w:t>
            </w:r>
          </w:p>
        </w:tc>
      </w:tr>
      <w:tr w:rsidR="00612921" w:rsidTr="00C55136">
        <w:tc>
          <w:tcPr>
            <w:tcW w:w="4675" w:type="dxa"/>
          </w:tcPr>
          <w:p w:rsidR="00612921" w:rsidRDefault="00612921" w:rsidP="00C55136">
            <w:r>
              <w:t>Method</w:t>
            </w:r>
          </w:p>
        </w:tc>
        <w:tc>
          <w:tcPr>
            <w:tcW w:w="4675" w:type="dxa"/>
          </w:tcPr>
          <w:p w:rsidR="00612921" w:rsidRDefault="00612921" w:rsidP="00C55136">
            <w:r>
              <w:t>PUT</w:t>
            </w:r>
          </w:p>
        </w:tc>
      </w:tr>
      <w:tr w:rsidR="00612921" w:rsidTr="00C55136">
        <w:tc>
          <w:tcPr>
            <w:tcW w:w="4675" w:type="dxa"/>
          </w:tcPr>
          <w:p w:rsidR="00612921" w:rsidRDefault="00612921" w:rsidP="00C55136">
            <w:r>
              <w:t>payload</w:t>
            </w:r>
          </w:p>
        </w:tc>
        <w:tc>
          <w:tcPr>
            <w:tcW w:w="4675" w:type="dxa"/>
          </w:tcPr>
          <w:p w:rsidR="00612921" w:rsidRDefault="00612921" w:rsidP="00C55136">
            <w:r>
              <w:t>-</w:t>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drawing>
                <wp:inline distT="0" distB="0" distL="0" distR="0" wp14:anchorId="3DC76DB3" wp14:editId="6AFC82AA">
                  <wp:extent cx="3409627" cy="1164827"/>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4609" cy="1173362"/>
                          </a:xfrm>
                          <a:prstGeom prst="rect">
                            <a:avLst/>
                          </a:prstGeom>
                        </pic:spPr>
                      </pic:pic>
                    </a:graphicData>
                  </a:graphic>
                </wp:inline>
              </w:drawing>
            </w:r>
          </w:p>
        </w:tc>
      </w:tr>
      <w:tr w:rsidR="00612921" w:rsidTr="00C55136">
        <w:tc>
          <w:tcPr>
            <w:tcW w:w="4675" w:type="dxa"/>
          </w:tcPr>
          <w:p w:rsidR="00612921" w:rsidRDefault="00612921" w:rsidP="00C55136">
            <w:r>
              <w:t>Description</w:t>
            </w:r>
          </w:p>
        </w:tc>
        <w:tc>
          <w:tcPr>
            <w:tcW w:w="4675" w:type="dxa"/>
          </w:tcPr>
          <w:p w:rsidR="00612921" w:rsidRPr="00EA6A93" w:rsidRDefault="00612921" w:rsidP="00C55136">
            <w:r>
              <w:t>This IS NOT A FUNCTIONAL END POINT, we created this one with the proposal to test what happen when a client is working in a queue and another client try to access to subscribed messages. For more explanation see TDD</w:t>
            </w:r>
          </w:p>
        </w:tc>
      </w:tr>
    </w:tbl>
    <w:p w:rsidR="00612921" w:rsidRDefault="00612921"/>
    <w:tbl>
      <w:tblPr>
        <w:tblStyle w:val="TableGrid"/>
        <w:tblW w:w="0" w:type="auto"/>
        <w:tblLook w:val="04A0" w:firstRow="1" w:lastRow="0" w:firstColumn="1" w:lastColumn="0" w:noHBand="0" w:noVBand="1"/>
      </w:tblPr>
      <w:tblGrid>
        <w:gridCol w:w="3765"/>
        <w:gridCol w:w="5585"/>
      </w:tblGrid>
      <w:tr w:rsidR="00612921" w:rsidTr="00C55136">
        <w:tc>
          <w:tcPr>
            <w:tcW w:w="4675" w:type="dxa"/>
          </w:tcPr>
          <w:p w:rsidR="00612921" w:rsidRDefault="00612921" w:rsidP="00C55136">
            <w:r>
              <w:t>Endpoint</w:t>
            </w:r>
          </w:p>
        </w:tc>
        <w:tc>
          <w:tcPr>
            <w:tcW w:w="4675" w:type="dxa"/>
          </w:tcPr>
          <w:p w:rsidR="00612921" w:rsidRDefault="00612921" w:rsidP="00C55136">
            <w:r>
              <w:t>/queue</w:t>
            </w:r>
          </w:p>
        </w:tc>
      </w:tr>
      <w:tr w:rsidR="00612921" w:rsidTr="00C55136">
        <w:tc>
          <w:tcPr>
            <w:tcW w:w="4675" w:type="dxa"/>
          </w:tcPr>
          <w:p w:rsidR="00612921" w:rsidRDefault="00612921" w:rsidP="00C55136">
            <w:r>
              <w:t>Method</w:t>
            </w:r>
          </w:p>
        </w:tc>
        <w:tc>
          <w:tcPr>
            <w:tcW w:w="4675" w:type="dxa"/>
          </w:tcPr>
          <w:p w:rsidR="00612921" w:rsidRDefault="00612921" w:rsidP="00C55136">
            <w:r>
              <w:t>PUT</w:t>
            </w:r>
          </w:p>
        </w:tc>
      </w:tr>
      <w:tr w:rsidR="00612921" w:rsidTr="00C55136">
        <w:tc>
          <w:tcPr>
            <w:tcW w:w="4675" w:type="dxa"/>
          </w:tcPr>
          <w:p w:rsidR="00612921" w:rsidRDefault="00612921" w:rsidP="00C55136">
            <w:r>
              <w:t>payload</w:t>
            </w:r>
          </w:p>
        </w:tc>
        <w:tc>
          <w:tcPr>
            <w:tcW w:w="4675" w:type="dxa"/>
          </w:tcPr>
          <w:p w:rsidR="00612921" w:rsidRDefault="00511034" w:rsidP="00C55136">
            <w:r w:rsidRPr="00511034">
              <w:drawing>
                <wp:inline distT="0" distB="0" distL="0" distR="0" wp14:anchorId="01B94CBC" wp14:editId="64771AF5">
                  <wp:extent cx="2014779" cy="787023"/>
                  <wp:effectExtent l="0" t="0" r="508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1143" cy="793415"/>
                          </a:xfrm>
                          <a:prstGeom prst="rect">
                            <a:avLst/>
                          </a:prstGeom>
                        </pic:spPr>
                      </pic:pic>
                    </a:graphicData>
                  </a:graphic>
                </wp:inline>
              </w:drawing>
            </w:r>
          </w:p>
        </w:tc>
      </w:tr>
      <w:tr w:rsidR="00612921" w:rsidTr="00C55136">
        <w:tc>
          <w:tcPr>
            <w:tcW w:w="4675" w:type="dxa"/>
          </w:tcPr>
          <w:p w:rsidR="00612921" w:rsidRDefault="00612921" w:rsidP="00C55136">
            <w:r>
              <w:t>response</w:t>
            </w:r>
          </w:p>
        </w:tc>
        <w:tc>
          <w:tcPr>
            <w:tcW w:w="4675" w:type="dxa"/>
          </w:tcPr>
          <w:p w:rsidR="00612921" w:rsidRDefault="00612921" w:rsidP="00C55136">
            <w:r w:rsidRPr="00612921">
              <w:drawing>
                <wp:inline distT="0" distB="0" distL="0" distR="0" wp14:anchorId="6CADA376" wp14:editId="5C64E924">
                  <wp:extent cx="3409627" cy="1164827"/>
                  <wp:effectExtent l="0" t="0" r="0" b="381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1"/>
                          <a:stretch>
                            <a:fillRect/>
                          </a:stretch>
                        </pic:blipFill>
                        <pic:spPr>
                          <a:xfrm>
                            <a:off x="0" y="0"/>
                            <a:ext cx="3434609" cy="1173362"/>
                          </a:xfrm>
                          <a:prstGeom prst="rect">
                            <a:avLst/>
                          </a:prstGeom>
                        </pic:spPr>
                      </pic:pic>
                    </a:graphicData>
                  </a:graphic>
                </wp:inline>
              </w:drawing>
            </w:r>
          </w:p>
        </w:tc>
      </w:tr>
      <w:tr w:rsidR="00511034" w:rsidTr="00C55136">
        <w:tc>
          <w:tcPr>
            <w:tcW w:w="4675" w:type="dxa"/>
          </w:tcPr>
          <w:p w:rsidR="00612921" w:rsidRDefault="00612921" w:rsidP="00C55136">
            <w:r>
              <w:t>Description</w:t>
            </w:r>
          </w:p>
        </w:tc>
        <w:tc>
          <w:tcPr>
            <w:tcW w:w="4675" w:type="dxa"/>
          </w:tcPr>
          <w:p w:rsidR="00612921" w:rsidRPr="00EA6A93" w:rsidRDefault="00511034" w:rsidP="00C55136">
            <w:r>
              <w:t xml:space="preserve">Same logic of previous endpoints we can specify in our payload queue to work. </w:t>
            </w:r>
          </w:p>
        </w:tc>
      </w:tr>
    </w:tbl>
    <w:p w:rsidR="00217A08" w:rsidRDefault="00217A08"/>
    <w:tbl>
      <w:tblPr>
        <w:tblStyle w:val="TableGrid"/>
        <w:tblW w:w="0" w:type="auto"/>
        <w:tblLook w:val="04A0" w:firstRow="1" w:lastRow="0" w:firstColumn="1" w:lastColumn="0" w:noHBand="0" w:noVBand="1"/>
      </w:tblPr>
      <w:tblGrid>
        <w:gridCol w:w="2887"/>
        <w:gridCol w:w="6463"/>
      </w:tblGrid>
      <w:tr w:rsidR="00217A08" w:rsidTr="00C55136">
        <w:tc>
          <w:tcPr>
            <w:tcW w:w="4675" w:type="dxa"/>
          </w:tcPr>
          <w:p w:rsidR="00217A08" w:rsidRDefault="00217A08" w:rsidP="00C55136">
            <w:r>
              <w:t>Endpoint</w:t>
            </w:r>
          </w:p>
        </w:tc>
        <w:tc>
          <w:tcPr>
            <w:tcW w:w="4675" w:type="dxa"/>
          </w:tcPr>
          <w:p w:rsidR="00217A08" w:rsidRDefault="00217A08" w:rsidP="00C55136">
            <w:r>
              <w:t>/</w:t>
            </w:r>
            <w:r>
              <w:t>operations</w:t>
            </w:r>
          </w:p>
        </w:tc>
      </w:tr>
      <w:tr w:rsidR="00217A08" w:rsidTr="00C55136">
        <w:tc>
          <w:tcPr>
            <w:tcW w:w="4675" w:type="dxa"/>
          </w:tcPr>
          <w:p w:rsidR="00217A08" w:rsidRDefault="00217A08" w:rsidP="00C55136">
            <w:r>
              <w:t>Method</w:t>
            </w:r>
          </w:p>
        </w:tc>
        <w:tc>
          <w:tcPr>
            <w:tcW w:w="4675" w:type="dxa"/>
          </w:tcPr>
          <w:p w:rsidR="00217A08" w:rsidRDefault="00217A08" w:rsidP="00C55136">
            <w:r>
              <w:t>POST</w:t>
            </w:r>
          </w:p>
        </w:tc>
      </w:tr>
      <w:tr w:rsidR="00217A08" w:rsidTr="00C55136">
        <w:tc>
          <w:tcPr>
            <w:tcW w:w="4675" w:type="dxa"/>
          </w:tcPr>
          <w:p w:rsidR="00217A08" w:rsidRDefault="00217A08" w:rsidP="00C55136">
            <w:r>
              <w:t>payload</w:t>
            </w:r>
          </w:p>
        </w:tc>
        <w:tc>
          <w:tcPr>
            <w:tcW w:w="4675" w:type="dxa"/>
          </w:tcPr>
          <w:p w:rsidR="00217A08" w:rsidRDefault="00217A08" w:rsidP="00C55136">
            <w:r>
              <w:t>-</w:t>
            </w:r>
          </w:p>
        </w:tc>
      </w:tr>
      <w:tr w:rsidR="00217A08" w:rsidTr="00C55136">
        <w:tc>
          <w:tcPr>
            <w:tcW w:w="4675" w:type="dxa"/>
          </w:tcPr>
          <w:p w:rsidR="00217A08" w:rsidRDefault="00217A08" w:rsidP="00C55136">
            <w:r>
              <w:t>response</w:t>
            </w:r>
          </w:p>
        </w:tc>
        <w:tc>
          <w:tcPr>
            <w:tcW w:w="4675" w:type="dxa"/>
          </w:tcPr>
          <w:p w:rsidR="00217A08" w:rsidRDefault="00217A08" w:rsidP="00C55136">
            <w:r w:rsidRPr="00217A08">
              <w:drawing>
                <wp:inline distT="0" distB="0" distL="0" distR="0" wp14:anchorId="4917B891" wp14:editId="747DC855">
                  <wp:extent cx="3966997" cy="24022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7993" cy="2408896"/>
                          </a:xfrm>
                          <a:prstGeom prst="rect">
                            <a:avLst/>
                          </a:prstGeom>
                        </pic:spPr>
                      </pic:pic>
                    </a:graphicData>
                  </a:graphic>
                </wp:inline>
              </w:drawing>
            </w:r>
          </w:p>
        </w:tc>
      </w:tr>
      <w:tr w:rsidR="00217A08" w:rsidTr="00C55136">
        <w:tc>
          <w:tcPr>
            <w:tcW w:w="4675" w:type="dxa"/>
          </w:tcPr>
          <w:p w:rsidR="00217A08" w:rsidRDefault="00217A08" w:rsidP="00C55136">
            <w:r>
              <w:t>Description</w:t>
            </w:r>
          </w:p>
        </w:tc>
        <w:tc>
          <w:tcPr>
            <w:tcW w:w="4675" w:type="dxa"/>
          </w:tcPr>
          <w:p w:rsidR="00217A08" w:rsidRDefault="00217A08" w:rsidP="00C55136">
            <w:r>
              <w:t xml:space="preserve">This endpoint works as WORKER, we obtain all messages available one by one and once we have completed the specific operation we can shift one by one of our current subscription. </w:t>
            </w:r>
          </w:p>
          <w:p w:rsidR="00161729" w:rsidRPr="00EA6A93" w:rsidRDefault="00161729" w:rsidP="00C55136">
            <w:r>
              <w:t xml:space="preserve">The output for this has the standard to retrieve </w:t>
            </w:r>
            <w:r w:rsidR="00720F4A">
              <w:t>“I</w:t>
            </w:r>
            <w:r>
              <w:t>d</w:t>
            </w:r>
            <w:r w:rsidR="00720F4A">
              <w:t>”</w:t>
            </w:r>
            <w:r>
              <w:t xml:space="preserve"> message</w:t>
            </w:r>
            <w:r w:rsidR="00720F4A">
              <w:t xml:space="preserve"> when that was created. As well </w:t>
            </w:r>
            <w:r>
              <w:t xml:space="preserve"> </w:t>
            </w:r>
            <w:r w:rsidR="00720F4A">
              <w:t>it has a</w:t>
            </w:r>
            <w:r>
              <w:t xml:space="preserve"> custom result in “result” attribute of our response</w:t>
            </w:r>
            <w:r w:rsidR="00720F4A">
              <w:t xml:space="preserve"> object</w:t>
            </w:r>
            <w:r>
              <w:t xml:space="preserve">. </w:t>
            </w:r>
          </w:p>
        </w:tc>
      </w:tr>
    </w:tbl>
    <w:p w:rsidR="00217A08" w:rsidRDefault="00217A08"/>
    <w:tbl>
      <w:tblPr>
        <w:tblStyle w:val="TableGrid"/>
        <w:tblW w:w="0" w:type="auto"/>
        <w:tblLook w:val="04A0" w:firstRow="1" w:lastRow="0" w:firstColumn="1" w:lastColumn="0" w:noHBand="0" w:noVBand="1"/>
      </w:tblPr>
      <w:tblGrid>
        <w:gridCol w:w="2065"/>
        <w:gridCol w:w="7285"/>
      </w:tblGrid>
      <w:tr w:rsidR="00217A08" w:rsidTr="00217A08">
        <w:tc>
          <w:tcPr>
            <w:tcW w:w="2065" w:type="dxa"/>
          </w:tcPr>
          <w:p w:rsidR="00217A08" w:rsidRDefault="00217A08" w:rsidP="00C55136">
            <w:r>
              <w:t>Endpoint</w:t>
            </w:r>
          </w:p>
        </w:tc>
        <w:tc>
          <w:tcPr>
            <w:tcW w:w="7285" w:type="dxa"/>
          </w:tcPr>
          <w:p w:rsidR="00217A08" w:rsidRDefault="00217A08" w:rsidP="00217A08">
            <w:r>
              <w:t>/</w:t>
            </w:r>
            <w:proofErr w:type="spellStart"/>
            <w:r w:rsidRPr="00217A08">
              <w:t>researchs</w:t>
            </w:r>
            <w:proofErr w:type="spellEnd"/>
          </w:p>
        </w:tc>
      </w:tr>
      <w:tr w:rsidR="00217A08" w:rsidTr="00217A08">
        <w:tc>
          <w:tcPr>
            <w:tcW w:w="2065" w:type="dxa"/>
          </w:tcPr>
          <w:p w:rsidR="00217A08" w:rsidRDefault="00217A08" w:rsidP="00C55136">
            <w:r>
              <w:t>Method</w:t>
            </w:r>
          </w:p>
        </w:tc>
        <w:tc>
          <w:tcPr>
            <w:tcW w:w="7285" w:type="dxa"/>
          </w:tcPr>
          <w:p w:rsidR="00217A08" w:rsidRDefault="00217A08" w:rsidP="00C55136">
            <w:r>
              <w:t>POST</w:t>
            </w:r>
          </w:p>
        </w:tc>
      </w:tr>
      <w:tr w:rsidR="00217A08" w:rsidTr="00217A08">
        <w:tc>
          <w:tcPr>
            <w:tcW w:w="2065" w:type="dxa"/>
          </w:tcPr>
          <w:p w:rsidR="00217A08" w:rsidRDefault="00217A08" w:rsidP="00C55136">
            <w:r>
              <w:t>payload</w:t>
            </w:r>
          </w:p>
        </w:tc>
        <w:tc>
          <w:tcPr>
            <w:tcW w:w="7285" w:type="dxa"/>
          </w:tcPr>
          <w:p w:rsidR="00217A08" w:rsidRDefault="00217A08" w:rsidP="00C55136">
            <w:r w:rsidRPr="00217A08">
              <w:drawing>
                <wp:inline distT="0" distB="0" distL="0" distR="0" wp14:anchorId="0D3BE7C3" wp14:editId="2C7E471A">
                  <wp:extent cx="1751308" cy="683437"/>
                  <wp:effectExtent l="0" t="0" r="190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65249" cy="688877"/>
                          </a:xfrm>
                          <a:prstGeom prst="rect">
                            <a:avLst/>
                          </a:prstGeom>
                        </pic:spPr>
                      </pic:pic>
                    </a:graphicData>
                  </a:graphic>
                </wp:inline>
              </w:drawing>
            </w:r>
          </w:p>
        </w:tc>
      </w:tr>
      <w:tr w:rsidR="00217A08" w:rsidTr="00217A08">
        <w:tc>
          <w:tcPr>
            <w:tcW w:w="2065" w:type="dxa"/>
          </w:tcPr>
          <w:p w:rsidR="00217A08" w:rsidRDefault="00217A08" w:rsidP="00C55136">
            <w:r>
              <w:t>response</w:t>
            </w:r>
          </w:p>
        </w:tc>
        <w:tc>
          <w:tcPr>
            <w:tcW w:w="7285" w:type="dxa"/>
          </w:tcPr>
          <w:p w:rsidR="00217A08" w:rsidRDefault="00217A08" w:rsidP="00C55136">
            <w:r w:rsidRPr="00217A08">
              <w:drawing>
                <wp:inline distT="0" distB="0" distL="0" distR="0" wp14:anchorId="1CEFA056" wp14:editId="1F711223">
                  <wp:extent cx="3146156" cy="2028195"/>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726" cy="2033075"/>
                          </a:xfrm>
                          <a:prstGeom prst="rect">
                            <a:avLst/>
                          </a:prstGeom>
                        </pic:spPr>
                      </pic:pic>
                    </a:graphicData>
                  </a:graphic>
                </wp:inline>
              </w:drawing>
            </w:r>
          </w:p>
        </w:tc>
      </w:tr>
      <w:tr w:rsidR="00217A08" w:rsidTr="00217A08">
        <w:tc>
          <w:tcPr>
            <w:tcW w:w="2065" w:type="dxa"/>
          </w:tcPr>
          <w:p w:rsidR="00217A08" w:rsidRDefault="00217A08" w:rsidP="00C55136">
            <w:r>
              <w:t>Description</w:t>
            </w:r>
          </w:p>
        </w:tc>
        <w:tc>
          <w:tcPr>
            <w:tcW w:w="7285" w:type="dxa"/>
          </w:tcPr>
          <w:p w:rsidR="00217A08" w:rsidRPr="00EA6A93" w:rsidRDefault="00217A08" w:rsidP="00C55136">
            <w:r>
              <w:t>As an example we create two different workers for our two queues</w:t>
            </w:r>
            <w:r>
              <w:t>.</w:t>
            </w:r>
            <w:r>
              <w:t xml:space="preserve"> This second one is an example to assign a researcher </w:t>
            </w:r>
            <w:r>
              <w:t xml:space="preserve"> </w:t>
            </w:r>
            <w:r>
              <w:t xml:space="preserve">in a request. It applies the same logic of queue </w:t>
            </w:r>
            <w:proofErr w:type="spellStart"/>
            <w:r>
              <w:t>managent</w:t>
            </w:r>
            <w:proofErr w:type="spellEnd"/>
            <w:r>
              <w:t>. (WORKER EXAMPLE)</w:t>
            </w:r>
          </w:p>
        </w:tc>
      </w:tr>
    </w:tbl>
    <w:p w:rsidR="00EA6A93" w:rsidRDefault="00EA6A93">
      <w:r>
        <w:br w:type="page"/>
      </w:r>
    </w:p>
    <w:p w:rsidR="00EA6A93" w:rsidRDefault="00720F4A" w:rsidP="00EA6A93">
      <w:r>
        <w:lastRenderedPageBreak/>
        <w:t>As well we develop a set of TDD we share a screenshot of the 17 test passed</w:t>
      </w:r>
    </w:p>
    <w:p w:rsidR="00720F4A" w:rsidRDefault="00720F4A" w:rsidP="00EA6A93"/>
    <w:p w:rsidR="00720F4A" w:rsidRPr="00EA6A93" w:rsidRDefault="00720F4A" w:rsidP="00EA6A93">
      <w:r w:rsidRPr="00720F4A">
        <w:drawing>
          <wp:inline distT="0" distB="0" distL="0" distR="0" wp14:anchorId="0FCB6B09" wp14:editId="2D75AD6A">
            <wp:extent cx="5943600" cy="2540000"/>
            <wp:effectExtent l="0" t="0" r="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6"/>
                    <a:stretch>
                      <a:fillRect/>
                    </a:stretch>
                  </pic:blipFill>
                  <pic:spPr>
                    <a:xfrm>
                      <a:off x="0" y="0"/>
                      <a:ext cx="5943600" cy="2540000"/>
                    </a:xfrm>
                    <a:prstGeom prst="rect">
                      <a:avLst/>
                    </a:prstGeom>
                  </pic:spPr>
                </pic:pic>
              </a:graphicData>
            </a:graphic>
          </wp:inline>
        </w:drawing>
      </w:r>
    </w:p>
    <w:sectPr w:rsidR="00720F4A" w:rsidRPr="00EA6A93" w:rsidSect="00C43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E67A8"/>
    <w:multiLevelType w:val="hybridMultilevel"/>
    <w:tmpl w:val="B8BA4CF0"/>
    <w:lvl w:ilvl="0" w:tplc="02A02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717"/>
    <w:rsid w:val="00161729"/>
    <w:rsid w:val="00217A08"/>
    <w:rsid w:val="00511034"/>
    <w:rsid w:val="00612921"/>
    <w:rsid w:val="00720F4A"/>
    <w:rsid w:val="00BB5A7F"/>
    <w:rsid w:val="00C43ECE"/>
    <w:rsid w:val="00C8006C"/>
    <w:rsid w:val="00EA6A93"/>
    <w:rsid w:val="00EB7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8AE30"/>
  <w15:chartTrackingRefBased/>
  <w15:docId w15:val="{82B7A800-94B9-D440-A5A6-540BE3C87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0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717"/>
    <w:pPr>
      <w:ind w:left="720"/>
      <w:contextualSpacing/>
    </w:pPr>
    <w:rPr>
      <w:rFonts w:asciiTheme="minorHAnsi" w:eastAsiaTheme="minorHAnsi" w:hAnsiTheme="minorHAnsi" w:cstheme="minorBidi"/>
      <w:lang w:val="es-ES"/>
    </w:rPr>
  </w:style>
  <w:style w:type="table" w:styleId="TableGrid">
    <w:name w:val="Table Grid"/>
    <w:basedOn w:val="TableNormal"/>
    <w:uiPriority w:val="39"/>
    <w:rsid w:val="00EA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738413">
      <w:bodyDiv w:val="1"/>
      <w:marLeft w:val="0"/>
      <w:marRight w:val="0"/>
      <w:marTop w:val="0"/>
      <w:marBottom w:val="0"/>
      <w:divBdr>
        <w:top w:val="none" w:sz="0" w:space="0" w:color="auto"/>
        <w:left w:val="none" w:sz="0" w:space="0" w:color="auto"/>
        <w:bottom w:val="none" w:sz="0" w:space="0" w:color="auto"/>
        <w:right w:val="none" w:sz="0" w:space="0" w:color="auto"/>
      </w:divBdr>
      <w:divsChild>
        <w:div w:id="272791541">
          <w:marLeft w:val="0"/>
          <w:marRight w:val="0"/>
          <w:marTop w:val="0"/>
          <w:marBottom w:val="0"/>
          <w:divBdr>
            <w:top w:val="none" w:sz="0" w:space="0" w:color="auto"/>
            <w:left w:val="none" w:sz="0" w:space="0" w:color="auto"/>
            <w:bottom w:val="none" w:sz="0" w:space="0" w:color="auto"/>
            <w:right w:val="none" w:sz="0" w:space="0" w:color="auto"/>
          </w:divBdr>
          <w:divsChild>
            <w:div w:id="6711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4646">
      <w:bodyDiv w:val="1"/>
      <w:marLeft w:val="0"/>
      <w:marRight w:val="0"/>
      <w:marTop w:val="0"/>
      <w:marBottom w:val="0"/>
      <w:divBdr>
        <w:top w:val="none" w:sz="0" w:space="0" w:color="auto"/>
        <w:left w:val="none" w:sz="0" w:space="0" w:color="auto"/>
        <w:bottom w:val="none" w:sz="0" w:space="0" w:color="auto"/>
        <w:right w:val="none" w:sz="0" w:space="0" w:color="auto"/>
      </w:divBdr>
    </w:div>
    <w:div w:id="1854876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Uayeb Caballero Rodriguez</dc:creator>
  <cp:keywords/>
  <dc:description/>
  <cp:lastModifiedBy>Uayeb Caballero Rodriguez</cp:lastModifiedBy>
  <cp:revision>3</cp:revision>
  <dcterms:created xsi:type="dcterms:W3CDTF">2020-09-28T07:01:00Z</dcterms:created>
  <dcterms:modified xsi:type="dcterms:W3CDTF">2020-09-28T07:45:00Z</dcterms:modified>
</cp:coreProperties>
</file>