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Studies – Topic 1.1 Environment and Resources – Review Notes — v1</w:t>
      </w:r>
    </w:p>
    <w:p>
      <w:r>
        <w:rPr>
          <w:i/>
          <w:color w:val="595959"/>
          <w:sz w:val="18"/>
        </w:rPr>
        <w:t>Topics follow the SEAB syllabus: H1 Geography 8834 (2026) and H2 Geography 9173 (2026).</w:t>
      </w:r>
    </w:p>
    <w:p>
      <w:r>
        <w:rPr>
          <w:i/>
          <w:color w:val="595959"/>
          <w:sz w:val="18"/>
        </w:rPr>
        <w:t>Companion to: 3a Case Studies – Topic 1.1 Environment and Resources v1.docx</w:t>
      </w:r>
    </w:p>
    <w:p>
      <w:pPr>
        <w:pStyle w:val="Heading1"/>
      </w:pPr>
      <w:r>
        <w:t>1. What this doc is and how it was built</w:t>
      </w:r>
    </w:p>
    <w:p>
      <w:pPr>
        <w:pStyle w:val="ListBullet"/>
      </w:pPr>
      <w:r>
        <w:t>First of 6 case-study docs, one per H2 9173 topic: 3a Topic 1.1, 3b 1.2, 3c 2.1, 3d 2.2, 3e 3.1, 3f 3.2. H1 8834 topics are the same as H2 Topics 3.1 and 3.2, so 3e and 3f cover H1 as well.</w:t>
      </w:r>
    </w:p>
    <w:p>
      <w:pPr>
        <w:pStyle w:val="ListBullet"/>
      </w:pPr>
      <w:r>
        <w:t>Topic 1.1 has 15 case-study slots taken from the syllabus content points. There are 17 cases, because slots 12 and 15 (strategies) each have a succeeded case and a failed case. 18 pages: slot plan, then one case per page.</w:t>
      </w:r>
    </w:p>
    <w:p>
      <w:pPr>
        <w:pStyle w:val="ListBullet"/>
      </w:pPr>
      <w:r>
        <w:t>Each case has a facts table, 1 chart, what happened, how it fits the syllabus point, an exam angle, a 'Links' line, and numbered source links.</w:t>
      </w:r>
    </w:p>
    <w:p>
      <w:pPr>
        <w:pStyle w:val="ListBullet"/>
      </w:pPr>
      <w:r>
        <w:t>Changes in v1 (from the v0.1 preview, approved 24 Oct 2026): slots 4–15 added; a 'Links' line under every case shows other slots and topics where the case can be reused; case choice is 'anywhere that fits best'.</w:t>
      </w:r>
    </w:p>
    <w:p>
      <w:pPr>
        <w:pStyle w:val="ListBullet"/>
      </w:pPr>
      <w:r>
        <w:t>Built with tools/build_case_studies.py from tools/data/case_studies_3a.json; charts from tools/case_charts.py (pip install matplotlib).</w:t>
      </w:r>
    </w:p>
    <w:p>
      <w:pPr>
        <w:pStyle w:val="Heading1"/>
      </w:pPr>
      <w:r>
        <w:t>2. Assumptions</w:t>
      </w:r>
    </w:p>
    <w:p>
      <w:pPr>
        <w:pStyle w:val="ListBullet"/>
      </w:pPr>
      <w:r>
        <w:t>Cases are from 2015 or later. A few pre-2015 facts appear only as background (e.g. the 1960 Indus treaty, the 2008 Bodo spills, cattle use of land cleared up to 2008).</w:t>
      </w:r>
    </w:p>
    <w:p>
      <w:pPr>
        <w:pStyle w:val="ListBullet"/>
      </w:pPr>
      <w:r>
        <w:t>Each image is a chart, timeline or diagram drawn from the case's figures. Photo sites are blocked by this cloud session's network policy.</w:t>
      </w:r>
    </w:p>
    <w:p>
      <w:pPr>
        <w:pStyle w:val="ListBullet"/>
      </w:pPr>
      <w:r>
        <w:t>Web pages could not be opened in this session; only web search worked. Figures come from search results that quote each source, and the cited links are the pages those results named.</w:t>
      </w:r>
    </w:p>
    <w:p>
      <w:pPr>
        <w:pStyle w:val="ListBullet"/>
      </w:pPr>
      <w:r>
        <w:t>Reuse: no case fills two slots on its own page. Instead the 'Links' lines point to where a case also fits (e.g. Laos hydropower and the Mekong conflict are paired; Oyu Tolgoi links to slots 14–15).</w:t>
      </w:r>
    </w:p>
    <w:p>
      <w:pPr>
        <w:pStyle w:val="ListBullet"/>
      </w:pPr>
      <w:r>
        <w:t>Mekong (slot 11) uses a schematic diagram, not a map; Indonesia fires (slot 6) uses four 'key number' tiles because the sources give totals, not a series.</w:t>
      </w:r>
    </w:p>
    <w:p>
      <w:pPr>
        <w:pStyle w:val="Heading1"/>
      </w:pPr>
      <w:r>
        <w:t>3. To review: figures to spot-check</w:t>
      </w:r>
    </w:p>
    <w:p>
      <w:r>
        <w:rPr>
          <w:i/>
          <w:color w:val="595959"/>
          <w:sz w:val="18"/>
        </w:rPr>
        <w:t>Figures where sources disagree or come from one source only. Worth a click.</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shd w:val="clear" w:color="auto" w:fill="D9E2F3"/>
          </w:tcPr>
          <w:p>
            <w:pPr>
              <w:spacing w:after="20"/>
            </w:pPr>
            <w:r/>
            <w:r>
              <w:rPr>
                <w:b/>
                <w:sz w:val="18"/>
              </w:rPr>
              <w:t>Case</w:t>
            </w:r>
          </w:p>
        </w:tc>
        <w:tc>
          <w:tcPr>
            <w:tcW w:type="dxa" w:w="3402"/>
            <w:shd w:val="clear" w:color="auto" w:fill="D9E2F3"/>
          </w:tcPr>
          <w:p>
            <w:pPr>
              <w:spacing w:after="20"/>
            </w:pPr>
            <w:r/>
            <w:r>
              <w:rPr>
                <w:b/>
                <w:sz w:val="18"/>
              </w:rPr>
              <w:t>Figure</w:t>
            </w:r>
          </w:p>
        </w:tc>
        <w:tc>
          <w:tcPr>
            <w:tcW w:type="dxa" w:w="3402"/>
            <w:shd w:val="clear" w:color="auto" w:fill="D9E2F3"/>
          </w:tcPr>
          <w:p>
            <w:pPr>
              <w:spacing w:after="20"/>
            </w:pPr>
            <w:r/>
            <w:r>
              <w:rPr>
                <w:b/>
                <w:sz w:val="18"/>
              </w:rPr>
              <w:t>Your decision</w:t>
            </w:r>
          </w:p>
        </w:tc>
      </w:tr>
      <w:tr>
        <w:tc>
          <w:tcPr>
            <w:tcW w:type="dxa" w:w="3402"/>
          </w:tcPr>
          <w:p>
            <w:pPr>
              <w:spacing w:after="20"/>
            </w:pPr>
            <w:r/>
            <w:r>
              <w:rPr>
                <w:b w:val="0"/>
                <w:sz w:val="18"/>
              </w:rPr>
              <w:t>Amazon</w:t>
            </w:r>
          </w:p>
        </w:tc>
        <w:tc>
          <w:tcPr>
            <w:tcW w:type="dxa" w:w="3402"/>
          </w:tcPr>
          <w:p>
            <w:pPr>
              <w:spacing w:after="20"/>
            </w:pPr>
            <w:r/>
            <w:r>
              <w:rPr>
                <w:b w:val="0"/>
                <w:sz w:val="18"/>
              </w:rPr>
              <w:t>2021 loss 13,038 km² (consolidated; first estimate 13,235).</w:t>
            </w:r>
          </w:p>
        </w:tc>
        <w:tc>
          <w:tcPr>
            <w:tcW w:type="dxa" w:w="3402"/>
          </w:tcPr>
          <w:p>
            <w:pPr>
              <w:spacing w:after="20"/>
            </w:pPr>
            <w:r/>
            <w:r>
              <w:rPr>
                <w:b w:val="0"/>
                <w:sz w:val="18"/>
              </w:rPr>
            </w:r>
          </w:p>
        </w:tc>
      </w:tr>
      <w:tr>
        <w:tc>
          <w:tcPr>
            <w:tcW w:type="dxa" w:w="3402"/>
          </w:tcPr>
          <w:p>
            <w:pPr>
              <w:spacing w:after="20"/>
            </w:pPr>
            <w:r/>
            <w:r>
              <w:rPr>
                <w:b w:val="0"/>
                <w:sz w:val="18"/>
              </w:rPr>
              <w:t>Sri Lanka</w:t>
            </w:r>
          </w:p>
        </w:tc>
        <w:tc>
          <w:tcPr>
            <w:tcW w:type="dxa" w:w="3402"/>
          </w:tcPr>
          <w:p>
            <w:pPr>
              <w:spacing w:after="20"/>
            </w:pPr>
            <w:r/>
            <w:r>
              <w:rPr>
                <w:b w:val="0"/>
                <w:sz w:val="18"/>
              </w:rPr>
              <w:t>Rice output fell about 20% after the fertiliser ban; another report says about half was lost. The lower figure is used.</w:t>
            </w:r>
          </w:p>
        </w:tc>
        <w:tc>
          <w:tcPr>
            <w:tcW w:type="dxa" w:w="3402"/>
          </w:tcPr>
          <w:p>
            <w:pPr>
              <w:spacing w:after="20"/>
            </w:pPr>
            <w:r/>
            <w:r>
              <w:rPr>
                <w:b w:val="0"/>
                <w:sz w:val="18"/>
              </w:rPr>
            </w:r>
          </w:p>
        </w:tc>
      </w:tr>
      <w:tr>
        <w:tc>
          <w:tcPr>
            <w:tcW w:type="dxa" w:w="3402"/>
          </w:tcPr>
          <w:p>
            <w:pPr>
              <w:spacing w:after="20"/>
            </w:pPr>
            <w:r/>
            <w:r>
              <w:rPr>
                <w:b w:val="0"/>
                <w:sz w:val="18"/>
              </w:rPr>
              <w:t>Lithium</w:t>
            </w:r>
          </w:p>
        </w:tc>
        <w:tc>
          <w:tcPr>
            <w:tcW w:type="dxa" w:w="3402"/>
          </w:tcPr>
          <w:p>
            <w:pPr>
              <w:spacing w:after="20"/>
            </w:pPr>
            <w:r/>
            <w:r>
              <w:rPr>
                <w:b w:val="0"/>
                <w:sz w:val="18"/>
              </w:rPr>
              <w:t>Prices are in yuan per tonne (China spot). Resources/reserves are USGS 2026 figures as quoted by a news site.</w:t>
            </w:r>
          </w:p>
        </w:tc>
        <w:tc>
          <w:tcPr>
            <w:tcW w:type="dxa" w:w="3402"/>
          </w:tcPr>
          <w:p>
            <w:pPr>
              <w:spacing w:after="20"/>
            </w:pPr>
            <w:r/>
            <w:r>
              <w:rPr>
                <w:b w:val="0"/>
                <w:sz w:val="18"/>
              </w:rPr>
            </w:r>
          </w:p>
        </w:tc>
      </w:tr>
      <w:tr>
        <w:tc>
          <w:tcPr>
            <w:tcW w:type="dxa" w:w="3402"/>
          </w:tcPr>
          <w:p>
            <w:pPr>
              <w:spacing w:after="20"/>
            </w:pPr>
            <w:r/>
            <w:r>
              <w:rPr>
                <w:b w:val="0"/>
                <w:sz w:val="18"/>
              </w:rPr>
              <w:t>West Africa</w:t>
            </w:r>
          </w:p>
        </w:tc>
        <w:tc>
          <w:tcPr>
            <w:tcW w:type="dxa" w:w="3402"/>
          </w:tcPr>
          <w:p>
            <w:pPr>
              <w:spacing w:after="20"/>
            </w:pPr>
            <w:r/>
            <w:r>
              <w:rPr>
                <w:b w:val="0"/>
                <w:sz w:val="18"/>
              </w:rPr>
              <w:t>'57% of Senegal's stocks collapsing' and the fish-per-person figures come from one NGO report (EJF 2025).</w:t>
            </w:r>
          </w:p>
        </w:tc>
        <w:tc>
          <w:tcPr>
            <w:tcW w:type="dxa" w:w="3402"/>
          </w:tcPr>
          <w:p>
            <w:pPr>
              <w:spacing w:after="20"/>
            </w:pPr>
            <w:r/>
            <w:r>
              <w:rPr>
                <w:b w:val="0"/>
                <w:sz w:val="18"/>
              </w:rPr>
            </w:r>
          </w:p>
        </w:tc>
      </w:tr>
      <w:tr>
        <w:tc>
          <w:tcPr>
            <w:tcW w:type="dxa" w:w="3402"/>
          </w:tcPr>
          <w:p>
            <w:pPr>
              <w:spacing w:after="20"/>
            </w:pPr>
            <w:r/>
            <w:r>
              <w:rPr>
                <w:b w:val="0"/>
                <w:sz w:val="18"/>
              </w:rPr>
              <w:t>Bangladesh</w:t>
            </w:r>
          </w:p>
        </w:tc>
        <w:tc>
          <w:tcPr>
            <w:tcW w:type="dxa" w:w="3402"/>
          </w:tcPr>
          <w:p>
            <w:pPr>
              <w:spacing w:after="20"/>
            </w:pPr>
            <w:r/>
            <w:r>
              <w:rPr>
                <w:b w:val="0"/>
                <w:sz w:val="18"/>
              </w:rPr>
              <w:t>Rice output figures are milled rice; one 2019 source gives 54.6 Mt for unhusked paddy, which is not comparable.</w:t>
            </w:r>
          </w:p>
        </w:tc>
        <w:tc>
          <w:tcPr>
            <w:tcW w:type="dxa" w:w="3402"/>
          </w:tcPr>
          <w:p>
            <w:pPr>
              <w:spacing w:after="20"/>
            </w:pPr>
            <w:r/>
            <w:r>
              <w:rPr>
                <w:b w:val="0"/>
                <w:sz w:val="18"/>
              </w:rPr>
            </w:r>
          </w:p>
        </w:tc>
      </w:tr>
      <w:tr>
        <w:tc>
          <w:tcPr>
            <w:tcW w:type="dxa" w:w="3402"/>
          </w:tcPr>
          <w:p>
            <w:pPr>
              <w:spacing w:after="20"/>
            </w:pPr>
            <w:r/>
            <w:r>
              <w:rPr>
                <w:b w:val="0"/>
                <w:sz w:val="18"/>
              </w:rPr>
              <w:t>Vietnam</w:t>
            </w:r>
          </w:p>
        </w:tc>
        <w:tc>
          <w:tcPr>
            <w:tcW w:type="dxa" w:w="3402"/>
          </w:tcPr>
          <w:p>
            <w:pPr>
              <w:spacing w:after="20"/>
            </w:pPr>
            <w:r/>
            <w:r>
              <w:rPr>
                <w:b w:val="0"/>
                <w:sz w:val="18"/>
              </w:rPr>
              <w:t>'Mid 2019: 4+ GW' is from a report of over 4 GW added in the first half of 2019.</w:t>
            </w:r>
          </w:p>
        </w:tc>
        <w:tc>
          <w:tcPr>
            <w:tcW w:type="dxa" w:w="3402"/>
          </w:tcPr>
          <w:p>
            <w:pPr>
              <w:spacing w:after="20"/>
            </w:pPr>
            <w:r/>
            <w:r>
              <w:rPr>
                <w:b w:val="0"/>
                <w:sz w:val="18"/>
              </w:rPr>
            </w:r>
          </w:p>
        </w:tc>
      </w:tr>
      <w:tr>
        <w:tc>
          <w:tcPr>
            <w:tcW w:type="dxa" w:w="3402"/>
          </w:tcPr>
          <w:p>
            <w:pPr>
              <w:spacing w:after="20"/>
            </w:pPr>
            <w:r/>
            <w:r>
              <w:rPr>
                <w:b w:val="0"/>
                <w:sz w:val="18"/>
              </w:rPr>
              <w:t>Laos</w:t>
            </w:r>
          </w:p>
        </w:tc>
        <w:tc>
          <w:tcPr>
            <w:tcW w:type="dxa" w:w="3402"/>
          </w:tcPr>
          <w:p>
            <w:pPr>
              <w:spacing w:after="20"/>
            </w:pPr>
            <w:r/>
            <w:r>
              <w:rPr>
                <w:b w:val="0"/>
                <w:sz w:val="18"/>
              </w:rPr>
              <w:t>Dam collapse deaths: officially fewer; at least 35 reported at the time, about 71 in a later estimate.</w:t>
            </w:r>
          </w:p>
        </w:tc>
        <w:tc>
          <w:tcPr>
            <w:tcW w:type="dxa" w:w="3402"/>
          </w:tcPr>
          <w:p>
            <w:pPr>
              <w:spacing w:after="20"/>
            </w:pPr>
            <w:r/>
            <w:r>
              <w:rPr>
                <w:b w:val="0"/>
                <w:sz w:val="18"/>
              </w:rPr>
            </w:r>
          </w:p>
        </w:tc>
      </w:tr>
      <w:tr>
        <w:tc>
          <w:tcPr>
            <w:tcW w:type="dxa" w:w="3402"/>
          </w:tcPr>
          <w:p>
            <w:pPr>
              <w:spacing w:after="20"/>
            </w:pPr>
            <w:r/>
            <w:r>
              <w:rPr>
                <w:b w:val="0"/>
                <w:sz w:val="18"/>
              </w:rPr>
              <w:t>Oyu Tolgoi</w:t>
            </w:r>
          </w:p>
        </w:tc>
        <w:tc>
          <w:tcPr>
            <w:tcW w:type="dxa" w:w="3402"/>
          </w:tcPr>
          <w:p>
            <w:pPr>
              <w:spacing w:after="20"/>
            </w:pPr>
            <w:r/>
            <w:r>
              <w:rPr>
                <w:b w:val="0"/>
                <w:sz w:val="18"/>
              </w:rPr>
              <w:t>2015 cost estimate (about US$5.3 bn) is worked out from 'US$7.06 bn, about US$1.8 bn above the 2015 estimate'.</w:t>
            </w:r>
          </w:p>
        </w:tc>
        <w:tc>
          <w:tcPr>
            <w:tcW w:type="dxa" w:w="3402"/>
          </w:tcPr>
          <w:p>
            <w:pPr>
              <w:spacing w:after="20"/>
            </w:pPr>
            <w:r/>
            <w:r>
              <w:rPr>
                <w:b w:val="0"/>
                <w:sz w:val="18"/>
              </w:rPr>
            </w:r>
          </w:p>
        </w:tc>
      </w:tr>
      <w:tr>
        <w:tc>
          <w:tcPr>
            <w:tcW w:type="dxa" w:w="3402"/>
          </w:tcPr>
          <w:p>
            <w:pPr>
              <w:spacing w:after="20"/>
            </w:pPr>
            <w:r/>
            <w:r>
              <w:rPr>
                <w:b w:val="0"/>
                <w:sz w:val="18"/>
              </w:rPr>
              <w:t>Guyana</w:t>
            </w:r>
          </w:p>
        </w:tc>
        <w:tc>
          <w:tcPr>
            <w:tcW w:type="dxa" w:w="3402"/>
          </w:tcPr>
          <w:p>
            <w:pPr>
              <w:spacing w:after="20"/>
            </w:pPr>
            <w:r/>
            <w:r>
              <w:rPr>
                <w:b w:val="0"/>
                <w:sz w:val="18"/>
              </w:rPr>
              <w:t>Poverty 48.4% is a 2019 figure; no newer official data were found.</w:t>
            </w:r>
          </w:p>
        </w:tc>
        <w:tc>
          <w:tcPr>
            <w:tcW w:type="dxa" w:w="3402"/>
          </w:tcPr>
          <w:p>
            <w:pPr>
              <w:spacing w:after="20"/>
            </w:pPr>
            <w:r/>
            <w:r>
              <w:rPr>
                <w:b w:val="0"/>
                <w:sz w:val="18"/>
              </w:rPr>
            </w:r>
          </w:p>
        </w:tc>
      </w:tr>
      <w:tr>
        <w:tc>
          <w:tcPr>
            <w:tcW w:type="dxa" w:w="3402"/>
          </w:tcPr>
          <w:p>
            <w:pPr>
              <w:spacing w:after="20"/>
            </w:pPr>
            <w:r/>
            <w:r>
              <w:rPr>
                <w:b w:val="0"/>
                <w:sz w:val="18"/>
              </w:rPr>
              <w:t>Brumadinho</w:t>
            </w:r>
          </w:p>
        </w:tc>
        <w:tc>
          <w:tcPr>
            <w:tcW w:type="dxa" w:w="3402"/>
          </w:tcPr>
          <w:p>
            <w:pPr>
              <w:spacing w:after="20"/>
            </w:pPr>
            <w:r/>
            <w:r>
              <w:rPr>
                <w:b w:val="0"/>
                <w:sz w:val="18"/>
              </w:rPr>
              <w:t>Vale's '23 upstream dams, full closure not before 2035' statement came from an undated report.</w:t>
            </w:r>
          </w:p>
        </w:tc>
        <w:tc>
          <w:tcPr>
            <w:tcW w:type="dxa" w:w="3402"/>
          </w:tcPr>
          <w:p>
            <w:pPr>
              <w:spacing w:after="20"/>
            </w:pPr>
            <w:r/>
            <w:r>
              <w:rPr>
                <w:b w:val="0"/>
                <w:sz w:val="18"/>
              </w:rPr>
            </w:r>
          </w:p>
        </w:tc>
      </w:tr>
    </w:tbl>
    <w:p>
      <w:pPr>
        <w:pStyle w:val="Heading1"/>
      </w:pPr>
      <w:r>
        <w:t>4. To review: choices</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shd w:val="clear" w:color="auto" w:fill="D9E2F3"/>
          </w:tcPr>
          <w:p>
            <w:pPr>
              <w:spacing w:after="20"/>
            </w:pPr>
            <w:r/>
            <w:r>
              <w:rPr>
                <w:b/>
                <w:sz w:val="18"/>
              </w:rPr>
              <w:t>Item</w:t>
            </w:r>
          </w:p>
        </w:tc>
        <w:tc>
          <w:tcPr>
            <w:tcW w:type="dxa" w:w="3402"/>
            <w:shd w:val="clear" w:color="auto" w:fill="D9E2F3"/>
          </w:tcPr>
          <w:p>
            <w:pPr>
              <w:spacing w:after="20"/>
            </w:pPr>
            <w:r/>
            <w:r>
              <w:rPr>
                <w:b/>
                <w:sz w:val="18"/>
              </w:rPr>
              <w:t>Current choice</w:t>
            </w:r>
          </w:p>
        </w:tc>
        <w:tc>
          <w:tcPr>
            <w:tcW w:type="dxa" w:w="3402"/>
            <w:shd w:val="clear" w:color="auto" w:fill="D9E2F3"/>
          </w:tcPr>
          <w:p>
            <w:pPr>
              <w:spacing w:after="20"/>
            </w:pPr>
            <w:r/>
            <w:r>
              <w:rPr>
                <w:b/>
                <w:sz w:val="18"/>
              </w:rPr>
              <w:t>Your decision</w:t>
            </w:r>
          </w:p>
        </w:tc>
      </w:tr>
      <w:tr>
        <w:tc>
          <w:tcPr>
            <w:tcW w:type="dxa" w:w="3402"/>
          </w:tcPr>
          <w:p>
            <w:pPr>
              <w:spacing w:after="20"/>
            </w:pPr>
            <w:r/>
            <w:r>
              <w:rPr>
                <w:b w:val="0"/>
                <w:sz w:val="18"/>
              </w:rPr>
              <w:t>Slot 8 (Malthus vs Boserup)</w:t>
            </w:r>
          </w:p>
        </w:tc>
        <w:tc>
          <w:tcPr>
            <w:tcW w:type="dxa" w:w="3402"/>
          </w:tcPr>
          <w:p>
            <w:pPr>
              <w:spacing w:after="20"/>
            </w:pPr>
            <w:r/>
            <w:r>
              <w:rPr>
                <w:b w:val="0"/>
                <w:sz w:val="18"/>
              </w:rPr>
              <w:t>One case (Bangladesh) that tests both views. Could add a second, e.g. a Sahel country, for a Malthus-leaning example.</w:t>
            </w:r>
          </w:p>
        </w:tc>
        <w:tc>
          <w:tcPr>
            <w:tcW w:type="dxa" w:w="3402"/>
          </w:tcPr>
          <w:p>
            <w:pPr>
              <w:spacing w:after="20"/>
            </w:pPr>
            <w:r/>
            <w:r>
              <w:rPr>
                <w:b w:val="0"/>
                <w:sz w:val="18"/>
              </w:rPr>
            </w:r>
          </w:p>
        </w:tc>
      </w:tr>
      <w:tr>
        <w:tc>
          <w:tcPr>
            <w:tcW w:type="dxa" w:w="3402"/>
          </w:tcPr>
          <w:p>
            <w:pPr>
              <w:spacing w:after="20"/>
            </w:pPr>
            <w:r/>
            <w:r>
              <w:rPr>
                <w:b w:val="0"/>
                <w:sz w:val="18"/>
              </w:rPr>
              <w:t>Slot 14 (variation)</w:t>
            </w:r>
          </w:p>
        </w:tc>
        <w:tc>
          <w:tcPr>
            <w:tcW w:type="dxa" w:w="3402"/>
          </w:tcPr>
          <w:p>
            <w:pPr>
              <w:spacing w:after="20"/>
            </w:pPr>
            <w:r/>
            <w:r>
              <w:rPr>
                <w:b w:val="0"/>
                <w:sz w:val="18"/>
              </w:rPr>
              <w:t>One page comparing two places (Guyana and Niger Delta) rather than one place.</w:t>
            </w:r>
          </w:p>
        </w:tc>
        <w:tc>
          <w:tcPr>
            <w:tcW w:type="dxa" w:w="3402"/>
          </w:tcPr>
          <w:p>
            <w:pPr>
              <w:spacing w:after="20"/>
            </w:pPr>
            <w:r/>
            <w:r>
              <w:rPr>
                <w:b w:val="0"/>
                <w:sz w:val="18"/>
              </w:rPr>
            </w:r>
          </w:p>
        </w:tc>
      </w:tr>
      <w:tr>
        <w:tc>
          <w:tcPr>
            <w:tcW w:type="dxa" w:w="3402"/>
          </w:tcPr>
          <w:p>
            <w:pPr>
              <w:spacing w:after="20"/>
            </w:pPr>
            <w:r/>
            <w:r>
              <w:rPr>
                <w:b w:val="0"/>
                <w:sz w:val="18"/>
              </w:rPr>
              <w:t>Slot 15 succeeded</w:t>
            </w:r>
          </w:p>
        </w:tc>
        <w:tc>
          <w:tcPr>
            <w:tcW w:type="dxa" w:w="3402"/>
          </w:tcPr>
          <w:p>
            <w:pPr>
              <w:spacing w:after="20"/>
            </w:pPr>
            <w:r/>
            <w:r>
              <w:rPr>
                <w:b w:val="0"/>
                <w:sz w:val="18"/>
              </w:rPr>
              <w:t>Indonesia's nickel ban succeeded economically; environmental costs are not covered by its sources.</w:t>
            </w:r>
          </w:p>
        </w:tc>
        <w:tc>
          <w:tcPr>
            <w:tcW w:type="dxa" w:w="3402"/>
          </w:tcPr>
          <w:p>
            <w:pPr>
              <w:spacing w:after="20"/>
            </w:pPr>
            <w:r/>
            <w:r>
              <w:rPr>
                <w:b w:val="0"/>
                <w:sz w:val="18"/>
              </w:rPr>
            </w:r>
          </w:p>
        </w:tc>
      </w:tr>
      <w:tr>
        <w:tc>
          <w:tcPr>
            <w:tcW w:type="dxa" w:w="3402"/>
          </w:tcPr>
          <w:p>
            <w:pPr>
              <w:spacing w:after="20"/>
            </w:pPr>
            <w:r/>
            <w:r>
              <w:rPr>
                <w:b w:val="0"/>
                <w:sz w:val="18"/>
              </w:rPr>
              <w:t>Charts vs photos</w:t>
            </w:r>
          </w:p>
        </w:tc>
        <w:tc>
          <w:tcPr>
            <w:tcW w:type="dxa" w:w="3402"/>
          </w:tcPr>
          <w:p>
            <w:pPr>
              <w:spacing w:after="20"/>
            </w:pPr>
            <w:r/>
            <w:r>
              <w:rPr>
                <w:b w:val="0"/>
                <w:sz w:val="18"/>
              </w:rPr>
              <w:t>Charts kept. Allowing commons.wikimedia.org in the environment's network settings would allow photos.</w:t>
            </w:r>
          </w:p>
        </w:tc>
        <w:tc>
          <w:tcPr>
            <w:tcW w:type="dxa" w:w="3402"/>
          </w:tcPr>
          <w:p>
            <w:pPr>
              <w:spacing w:after="20"/>
            </w:pPr>
            <w:r/>
            <w:r>
              <w:rPr>
                <w:b w:val="0"/>
                <w:sz w:val="18"/>
              </w:rPr>
            </w:r>
          </w:p>
        </w:tc>
      </w:tr>
    </w:tbl>
    <w:p>
      <w:pPr>
        <w:pStyle w:val="Heading1"/>
      </w:pPr>
      <w:r>
        <w:t>5. To consider</w:t>
      </w:r>
    </w:p>
    <w:p>
      <w:pPr>
        <w:pStyle w:val="ListBullet"/>
      </w:pPr>
      <w:r>
        <w:t>Next: doc 3b (Topic 1.2 Development and the Global Economy), which has 'trend' and 'actors' slots.</w:t>
      </w:r>
    </w:p>
    <w:p>
      <w:pPr>
        <w:pStyle w:val="ListBullet"/>
      </w:pPr>
      <w:r>
        <w:t>A one-page summary table at the end (case × slot × 'also fits') to help with revision.</w:t>
      </w:r>
    </w:p>
    <w:p>
      <w:pPr>
        <w:pStyle w:val="ListBullet"/>
      </w:pPr>
      <w:r>
        <w:t>Where a case links to another topic, the later docs (3b–3f) can reuse it instead of adding a new one.</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