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Topic Grid by School (H1 &amp; H2) – Review Notes — v0.15</w:t>
      </w:r>
    </w:p>
    <w:p>
      <w:r>
        <w:rPr>
          <w:i/>
          <w:color w:val="595959"/>
          <w:sz w:val="18"/>
        </w:rPr>
        <w:t>Topics follow the SEAB syllabus: H1 Geography 8834 (2026) and H2 Geography 9173 (2026).</w:t>
      </w:r>
    </w:p>
    <w:p>
      <w:r>
        <w:rPr>
          <w:i/>
          <w:color w:val="595959"/>
          <w:sz w:val="18"/>
        </w:rPr>
        <w:t>Companion to: 1 Topic Grid by School (H1 &amp; H2) v0.15.docx</w:t>
      </w:r>
    </w:p>
    <w:p>
      <w:pPr>
        <w:pStyle w:val="Heading1"/>
      </w:pPr>
      <w:r>
        <w:t>1. What this doc is and how it was built</w:t>
      </w:r>
    </w:p>
    <w:p>
      <w:pPr>
        <w:pStyle w:val="ListBullet"/>
      </w:pPr>
      <w:r>
        <w:t>Three tables: H1 Paper 1 (Q1–Q6), H2 Paper 1 (Q1–Q6) and H2 Paper 2 (Q1–Q4). Rows are school + year, sorted by school then year. 39 pages, landscape.</w:t>
      </w:r>
    </w:p>
    <w:p>
      <w:pPr>
        <w:pStyle w:val="ListBullet"/>
      </w:pPr>
      <w:r>
        <w:t>Each cell gives the syllabus Key Question(s) the question tests, e.g. '1.1.1b SUD: Urban population trends'.</w:t>
      </w:r>
    </w:p>
    <w:p>
      <w:pPr>
        <w:pStyle w:val="ListBullet"/>
      </w:pPr>
      <w:r>
        <w:t>Under the codes, a short grey 'focus' line names the case, place or angle of the question (e.g. 'London Docklands, Canary Wharf', 'Mitigation the best response?').</w:t>
      </w:r>
    </w:p>
    <w:p>
      <w:pPr>
        <w:pStyle w:val="ListBullet"/>
      </w:pPr>
      <w:r>
        <w:t>Each cell is shaded by the topic the question is filed under in docs 2b–2f, with a colour key under each table. H1 Cluster 1 uses the same yellows as H2 Cluster 3 because they cover the same content; fieldwork is peach.</w:t>
      </w:r>
    </w:p>
    <w:p>
      <w:pPr>
        <w:pStyle w:val="ListBullet"/>
      </w:pPr>
      <w:r>
        <w:t>716 questions from 47 school-years (2024: 15 schools, 2025: 15, 2026: 17).</w:t>
      </w:r>
    </w:p>
    <w:p>
      <w:pPr>
        <w:pStyle w:val="ListBullet"/>
      </w:pPr>
      <w:r>
        <w:t>Labels were assigned from the reading notes (question wording + marks of every sub-part), not from the answer schemes.</w:t>
      </w:r>
    </w:p>
    <w:p>
      <w:pPr>
        <w:pStyle w:val="ListBullet"/>
      </w:pPr>
      <w:r>
        <w:t>A section 'How often each key question was tested' gives, for H1 and H2, the number of questions testing each key question and fieldwork area in 2024, 2025 and 2026, with totals.</w:t>
      </w:r>
    </w:p>
    <w:p>
      <w:pPr>
        <w:pStyle w:val="ListBullet"/>
      </w:pPr>
      <w:r>
        <w:t>Changes in v0.15 (your section 7 choices from the v0.7 notes): the H2 table is split into Paper 1 and Paper 2, cells are shaded by topic, every cell has a focus line, and the frequency summary is added.</w:t>
      </w:r>
    </w:p>
    <w:p>
      <w:pPr>
        <w:pStyle w:val="Heading1"/>
      </w:pPr>
      <w:r>
        <w:t>2. Assumptions</w:t>
      </w:r>
    </w:p>
    <w:p>
      <w:pPr>
        <w:pStyle w:val="ListBullet"/>
      </w:pPr>
      <w:r>
        <w:t>The 2026 syllabuses (8834, 9173) are used for all three years, including the 2024 and 2025 papers.</w:t>
      </w:r>
    </w:p>
    <w:p>
      <w:pPr>
        <w:pStyle w:val="ListBullet"/>
      </w:pPr>
      <w:r>
        <w:t>Key Questions are coded a, b, c in the order they appear in the syllabus, under each sub-topic (e.g. 1.1.1a/b/c).</w:t>
      </w:r>
    </w:p>
    <w:p>
      <w:pPr>
        <w:pStyle w:val="ListBullet"/>
      </w:pPr>
      <w:r>
        <w:t>Structured questions: every sub-part is given a Key Question; the cell lists each one once, ordered by marks (highest first). Ties follow sub-part order.</w:t>
      </w:r>
    </w:p>
    <w:p>
      <w:pPr>
        <w:pStyle w:val="ListBullet"/>
      </w:pPr>
      <w:r>
        <w:t>Essays: normally one Key Question; two only when the question clearly spans two.</w:t>
      </w:r>
    </w:p>
    <w:p>
      <w:pPr>
        <w:pStyle w:val="ListBullet"/>
      </w:pPr>
      <w:r>
        <w:t>Fieldwork questions are labelled by the syllabus fieldwork area (H1: Community response to climate change, Needs of the elderly; H2 adds Fluvial flood risk). Scenarios outside these areas are filed as 'Others'.</w:t>
      </w:r>
    </w:p>
    <w:p>
      <w:pPr>
        <w:pStyle w:val="ListBullet"/>
      </w:pPr>
      <w:r>
        <w:t>VJC 2026 H1 is left out (question paper is password-protected). MI 2026, NJC 2024 and RVHS 2024–2026 have no H1 paper in the sources.</w:t>
      </w:r>
    </w:p>
    <w:p>
      <w:pPr>
        <w:pStyle w:val="ListBullet"/>
      </w:pPr>
      <w:r>
        <w:t>Where a school's paper and answer scheme disagree on marks, the question paper's marks were used.</w:t>
      </w:r>
    </w:p>
    <w:p>
      <w:pPr>
        <w:pStyle w:val="ListBullet"/>
      </w:pPr>
      <w:r>
        <w:t>Errors printed in the schools' own papers are not listed here (as you asked earlier); they are recorded in the reading notes if needed.</w:t>
      </w:r>
    </w:p>
    <w:p>
      <w:pPr>
        <w:pStyle w:val="ListBullet"/>
      </w:pPr>
      <w:r>
        <w:t>Focus lines were written by hand for all 716 questions from the reading notes (case study, place, or a short paraphrase of an essay's claim). They are a memory aid, not part of the syllabus labels.</w:t>
      </w:r>
    </w:p>
    <w:p>
      <w:pPr>
        <w:pStyle w:val="ListBullet"/>
      </w:pPr>
      <w:r>
        <w:t>Shading follows the doc 2 filing: a structured question takes the topic of its first-listed key question, except the 13 H2 questions where a part-by-part mark count put more marks in another topic (listed in the 2e Review Notes). Essays take the topic of their key question.</w:t>
      </w:r>
    </w:p>
    <w:p>
      <w:pPr>
        <w:pStyle w:val="ListBullet"/>
      </w:pPr>
      <w:r>
        <w:t>Frequency counts: a question counts once for every key question its parts test, so one structured question can add to several rows. Different numbers of schools set papers each year (H1: 13, 14, 14; H2: 15, 15, 17), so compare years with that in mind.</w:t>
      </w:r>
    </w:p>
    <w:p>
      <w:pPr>
        <w:pStyle w:val="Heading1"/>
      </w:pPr>
      <w:r>
        <w:t>3. To review: fieldwork filed under 'Others'</w:t>
      </w:r>
    </w:p>
    <w:p>
      <w:r>
        <w:rPr>
          <w:i/>
          <w:color w:val="595959"/>
          <w:sz w:val="18"/>
        </w:rPr>
        <w:t>These scenarios aren't one of the syllabus fieldwork areas, so they are filed under 'Others'. Fill in the area you want for each.</w:t>
      </w:r>
    </w:p>
    <w:tbl>
      <w:tblPr>
        <w:tblStyle w:val="TableGrid"/>
        <w:tblW w:type="auto" w:w="0"/>
        <w:tblLook w:firstColumn="1" w:firstRow="1" w:lastColumn="0" w:lastRow="0" w:noHBand="0" w:noVBand="1" w:val="04A0"/>
      </w:tblPr>
      <w:tblGrid>
        <w:gridCol w:w="2041"/>
        <w:gridCol w:w="2041"/>
        <w:gridCol w:w="2041"/>
        <w:gridCol w:w="2041"/>
        <w:gridCol w:w="2041"/>
      </w:tblGrid>
      <w:tr>
        <w:trPr>
          <w:tblHeader w:val="true"/>
        </w:trPr>
        <w:tc>
          <w:tcPr>
            <w:tcW w:type="dxa" w:w="2041"/>
            <w:shd w:val="clear" w:color="auto" w:fill="D9E2F3"/>
          </w:tcPr>
          <w:p>
            <w:pPr>
              <w:spacing w:after="20"/>
            </w:pPr>
            <w:r/>
            <w:r>
              <w:rPr>
                <w:b/>
                <w:sz w:val="18"/>
              </w:rPr>
              <w:t>School &amp; Year</w:t>
            </w:r>
          </w:p>
        </w:tc>
        <w:tc>
          <w:tcPr>
            <w:tcW w:type="dxa" w:w="2041"/>
            <w:shd w:val="clear" w:color="auto" w:fill="D9E2F3"/>
          </w:tcPr>
          <w:p>
            <w:pPr>
              <w:spacing w:after="20"/>
            </w:pPr>
            <w:r/>
            <w:r>
              <w:rPr>
                <w:b/>
                <w:sz w:val="18"/>
              </w:rPr>
              <w:t>Paper / Q</w:t>
            </w:r>
          </w:p>
        </w:tc>
        <w:tc>
          <w:tcPr>
            <w:tcW w:type="dxa" w:w="2041"/>
            <w:shd w:val="clear" w:color="auto" w:fill="D9E2F3"/>
          </w:tcPr>
          <w:p>
            <w:pPr>
              <w:spacing w:after="20"/>
            </w:pPr>
            <w:r/>
            <w:r>
              <w:rPr>
                <w:b/>
                <w:sz w:val="18"/>
              </w:rPr>
              <w:t>Fieldwork scenario</w:t>
            </w:r>
          </w:p>
        </w:tc>
        <w:tc>
          <w:tcPr>
            <w:tcW w:type="dxa" w:w="2041"/>
            <w:shd w:val="clear" w:color="auto" w:fill="D9E2F3"/>
          </w:tcPr>
          <w:p>
            <w:pPr>
              <w:spacing w:after="20"/>
            </w:pPr>
            <w:r/>
            <w:r>
              <w:rPr>
                <w:b/>
                <w:sz w:val="18"/>
              </w:rPr>
              <w:t>Nearest area</w:t>
            </w:r>
          </w:p>
        </w:tc>
        <w:tc>
          <w:tcPr>
            <w:tcW w:type="dxa" w:w="2041"/>
            <w:shd w:val="clear" w:color="auto" w:fill="D9E2F3"/>
          </w:tcPr>
          <w:p>
            <w:pPr>
              <w:spacing w:after="20"/>
            </w:pPr>
            <w:r/>
            <w:r>
              <w:rPr>
                <w:b/>
                <w:sz w:val="18"/>
              </w:rPr>
              <w:t>Your decision</w:t>
            </w:r>
          </w:p>
        </w:tc>
      </w:tr>
      <w:tr>
        <w:tc>
          <w:tcPr>
            <w:tcW w:type="dxa" w:w="2041"/>
          </w:tcPr>
          <w:p>
            <w:pPr>
              <w:spacing w:after="20"/>
            </w:pPr>
            <w:r/>
            <w:r>
              <w:rPr>
                <w:b w:val="0"/>
                <w:sz w:val="18"/>
              </w:rPr>
              <w:t>ASRJC 2024</w:t>
            </w:r>
          </w:p>
        </w:tc>
        <w:tc>
          <w:tcPr>
            <w:tcW w:type="dxa" w:w="2041"/>
          </w:tcPr>
          <w:p>
            <w:pPr>
              <w:spacing w:after="20"/>
            </w:pPr>
            <w:r/>
            <w:r>
              <w:rPr>
                <w:b w:val="0"/>
                <w:sz w:val="18"/>
              </w:rPr>
              <w:t>H1 Q1</w:t>
            </w:r>
          </w:p>
        </w:tc>
        <w:tc>
          <w:tcPr>
            <w:tcW w:type="dxa" w:w="2041"/>
          </w:tcPr>
          <w:p>
            <w:pPr>
              <w:spacing w:after="20"/>
            </w:pPr>
            <w:r/>
            <w:r>
              <w:rPr>
                <w:b w:val="0"/>
                <w:sz w:val="18"/>
              </w:rPr>
              <w:t>Green Hub @ Bishan – sustainable practices</w:t>
            </w:r>
          </w:p>
        </w:tc>
        <w:tc>
          <w:tcPr>
            <w:tcW w:type="dxa" w:w="2041"/>
          </w:tcPr>
          <w:p>
            <w:pPr>
              <w:spacing w:after="20"/>
            </w:pPr>
            <w:r/>
            <w:r>
              <w:rPr>
                <w:b w:val="0"/>
                <w:sz w:val="18"/>
              </w:rPr>
              <w:t>Community response to CC</w:t>
            </w:r>
          </w:p>
        </w:tc>
        <w:tc>
          <w:tcPr>
            <w:tcW w:type="dxa" w:w="2041"/>
          </w:tcPr>
          <w:p>
            <w:pPr>
              <w:spacing w:after="20"/>
            </w:pPr>
            <w:r/>
            <w:r>
              <w:rPr>
                <w:b w:val="0"/>
                <w:sz w:val="18"/>
              </w:rPr>
            </w:r>
          </w:p>
        </w:tc>
      </w:tr>
      <w:tr>
        <w:tc>
          <w:tcPr>
            <w:tcW w:type="dxa" w:w="2041"/>
          </w:tcPr>
          <w:p>
            <w:pPr>
              <w:spacing w:after="20"/>
            </w:pPr>
            <w:r/>
            <w:r>
              <w:rPr>
                <w:b w:val="0"/>
                <w:sz w:val="18"/>
              </w:rPr>
              <w:t>CJC 2024</w:t>
            </w:r>
          </w:p>
        </w:tc>
        <w:tc>
          <w:tcPr>
            <w:tcW w:type="dxa" w:w="2041"/>
          </w:tcPr>
          <w:p>
            <w:pPr>
              <w:spacing w:after="20"/>
            </w:pPr>
            <w:r/>
            <w:r>
              <w:rPr>
                <w:b w:val="0"/>
                <w:sz w:val="18"/>
              </w:rPr>
              <w:t>H1 Q1</w:t>
            </w:r>
          </w:p>
        </w:tc>
        <w:tc>
          <w:tcPr>
            <w:tcW w:type="dxa" w:w="2041"/>
          </w:tcPr>
          <w:p>
            <w:pPr>
              <w:spacing w:after="20"/>
            </w:pPr>
            <w:r/>
            <w:r>
              <w:rPr>
                <w:b w:val="0"/>
                <w:sz w:val="18"/>
              </w:rPr>
              <w:t>Use of single-use plastics in CJC (Singapore Green Plan)</w:t>
            </w:r>
          </w:p>
        </w:tc>
        <w:tc>
          <w:tcPr>
            <w:tcW w:type="dxa" w:w="2041"/>
          </w:tcPr>
          <w:p>
            <w:pPr>
              <w:spacing w:after="20"/>
            </w:pPr>
            <w:r/>
            <w:r>
              <w:rPr>
                <w:b w:val="0"/>
                <w:sz w:val="18"/>
              </w:rPr>
              <w:t>Community response to CC</w:t>
            </w:r>
          </w:p>
        </w:tc>
        <w:tc>
          <w:tcPr>
            <w:tcW w:type="dxa" w:w="2041"/>
          </w:tcPr>
          <w:p>
            <w:pPr>
              <w:spacing w:after="20"/>
            </w:pPr>
            <w:r/>
            <w:r>
              <w:rPr>
                <w:b w:val="0"/>
                <w:sz w:val="18"/>
              </w:rPr>
            </w:r>
          </w:p>
        </w:tc>
      </w:tr>
      <w:tr>
        <w:tc>
          <w:tcPr>
            <w:tcW w:type="dxa" w:w="2041"/>
          </w:tcPr>
          <w:p>
            <w:pPr>
              <w:spacing w:after="20"/>
            </w:pPr>
            <w:r/>
            <w:r>
              <w:rPr>
                <w:b w:val="0"/>
                <w:sz w:val="18"/>
              </w:rPr>
              <w:t>DHS 2024</w:t>
            </w:r>
          </w:p>
        </w:tc>
        <w:tc>
          <w:tcPr>
            <w:tcW w:type="dxa" w:w="2041"/>
          </w:tcPr>
          <w:p>
            <w:pPr>
              <w:spacing w:after="20"/>
            </w:pPr>
            <w:r/>
            <w:r>
              <w:rPr>
                <w:b w:val="0"/>
                <w:sz w:val="18"/>
              </w:rPr>
              <w:t>H1 Q1</w:t>
            </w:r>
          </w:p>
        </w:tc>
        <w:tc>
          <w:tcPr>
            <w:tcW w:type="dxa" w:w="2041"/>
          </w:tcPr>
          <w:p>
            <w:pPr>
              <w:spacing w:after="20"/>
            </w:pPr>
            <w:r/>
            <w:r>
              <w:rPr>
                <w:b w:val="0"/>
                <w:sz w:val="18"/>
              </w:rPr>
              <w:t>'Reuse and Return' food containers, Tampines hawker centre</w:t>
            </w:r>
          </w:p>
        </w:tc>
        <w:tc>
          <w:tcPr>
            <w:tcW w:type="dxa" w:w="2041"/>
          </w:tcPr>
          <w:p>
            <w:pPr>
              <w:spacing w:after="20"/>
            </w:pPr>
            <w:r/>
            <w:r>
              <w:rPr>
                <w:b w:val="0"/>
                <w:sz w:val="18"/>
              </w:rPr>
              <w:t>Community response to CC</w:t>
            </w:r>
          </w:p>
        </w:tc>
        <w:tc>
          <w:tcPr>
            <w:tcW w:type="dxa" w:w="2041"/>
          </w:tcPr>
          <w:p>
            <w:pPr>
              <w:spacing w:after="20"/>
            </w:pPr>
            <w:r/>
            <w:r>
              <w:rPr>
                <w:b w:val="0"/>
                <w:sz w:val="18"/>
              </w:rPr>
            </w:r>
          </w:p>
        </w:tc>
      </w:tr>
      <w:tr>
        <w:tc>
          <w:tcPr>
            <w:tcW w:type="dxa" w:w="2041"/>
          </w:tcPr>
          <w:p>
            <w:pPr>
              <w:spacing w:after="20"/>
            </w:pPr>
            <w:r/>
            <w:r>
              <w:rPr>
                <w:b w:val="0"/>
                <w:sz w:val="18"/>
              </w:rPr>
              <w:t>EJC 2024</w:t>
            </w:r>
          </w:p>
        </w:tc>
        <w:tc>
          <w:tcPr>
            <w:tcW w:type="dxa" w:w="2041"/>
          </w:tcPr>
          <w:p>
            <w:pPr>
              <w:spacing w:after="20"/>
            </w:pPr>
            <w:r/>
            <w:r>
              <w:rPr>
                <w:b w:val="0"/>
                <w:sz w:val="18"/>
              </w:rPr>
              <w:t>H1 Q1</w:t>
            </w:r>
          </w:p>
        </w:tc>
        <w:tc>
          <w:tcPr>
            <w:tcW w:type="dxa" w:w="2041"/>
          </w:tcPr>
          <w:p>
            <w:pPr>
              <w:spacing w:after="20"/>
            </w:pPr>
            <w:r/>
            <w:r>
              <w:rPr>
                <w:b w:val="0"/>
                <w:sz w:val="18"/>
              </w:rPr>
              <w:t>Green Hub @ Bishan – sustainable practices</w:t>
            </w:r>
          </w:p>
        </w:tc>
        <w:tc>
          <w:tcPr>
            <w:tcW w:type="dxa" w:w="2041"/>
          </w:tcPr>
          <w:p>
            <w:pPr>
              <w:spacing w:after="20"/>
            </w:pPr>
            <w:r/>
            <w:r>
              <w:rPr>
                <w:b w:val="0"/>
                <w:sz w:val="18"/>
              </w:rPr>
              <w:t>Community response to CC</w:t>
            </w:r>
          </w:p>
        </w:tc>
        <w:tc>
          <w:tcPr>
            <w:tcW w:type="dxa" w:w="2041"/>
          </w:tcPr>
          <w:p>
            <w:pPr>
              <w:spacing w:after="20"/>
            </w:pPr>
            <w:r/>
            <w:r>
              <w:rPr>
                <w:b w:val="0"/>
                <w:sz w:val="18"/>
              </w:rPr>
            </w:r>
          </w:p>
        </w:tc>
      </w:tr>
      <w:tr>
        <w:tc>
          <w:tcPr>
            <w:tcW w:type="dxa" w:w="2041"/>
          </w:tcPr>
          <w:p>
            <w:pPr>
              <w:spacing w:after="20"/>
            </w:pPr>
            <w:r/>
            <w:r>
              <w:rPr>
                <w:b w:val="0"/>
                <w:sz w:val="18"/>
              </w:rPr>
              <w:t>JPJC 2024</w:t>
            </w:r>
          </w:p>
        </w:tc>
        <w:tc>
          <w:tcPr>
            <w:tcW w:type="dxa" w:w="2041"/>
          </w:tcPr>
          <w:p>
            <w:pPr>
              <w:spacing w:after="20"/>
            </w:pPr>
            <w:r/>
            <w:r>
              <w:rPr>
                <w:b w:val="0"/>
                <w:sz w:val="18"/>
              </w:rPr>
              <w:t>H1 Q1</w:t>
            </w:r>
          </w:p>
        </w:tc>
        <w:tc>
          <w:tcPr>
            <w:tcW w:type="dxa" w:w="2041"/>
          </w:tcPr>
          <w:p>
            <w:pPr>
              <w:spacing w:after="20"/>
            </w:pPr>
            <w:r/>
            <w:r>
              <w:rPr>
                <w:b w:val="0"/>
                <w:sz w:val="18"/>
              </w:rPr>
              <w:t>Promotion of cycling, Ang Mo Kio</w:t>
            </w:r>
          </w:p>
        </w:tc>
        <w:tc>
          <w:tcPr>
            <w:tcW w:type="dxa" w:w="2041"/>
          </w:tcPr>
          <w:p>
            <w:pPr>
              <w:spacing w:after="20"/>
            </w:pPr>
            <w:r/>
            <w:r>
              <w:rPr>
                <w:b w:val="0"/>
                <w:sz w:val="18"/>
              </w:rPr>
              <w:t>Community response to CC</w:t>
            </w:r>
          </w:p>
        </w:tc>
        <w:tc>
          <w:tcPr>
            <w:tcW w:type="dxa" w:w="2041"/>
          </w:tcPr>
          <w:p>
            <w:pPr>
              <w:spacing w:after="20"/>
            </w:pPr>
            <w:r/>
            <w:r>
              <w:rPr>
                <w:b w:val="0"/>
                <w:sz w:val="18"/>
              </w:rPr>
            </w:r>
          </w:p>
        </w:tc>
      </w:tr>
      <w:tr>
        <w:tc>
          <w:tcPr>
            <w:tcW w:type="dxa" w:w="2041"/>
          </w:tcPr>
          <w:p>
            <w:pPr>
              <w:spacing w:after="20"/>
            </w:pPr>
            <w:r/>
            <w:r>
              <w:rPr>
                <w:b w:val="0"/>
                <w:sz w:val="18"/>
              </w:rPr>
              <w:t>JPJC 2024</w:t>
            </w:r>
          </w:p>
        </w:tc>
        <w:tc>
          <w:tcPr>
            <w:tcW w:type="dxa" w:w="2041"/>
          </w:tcPr>
          <w:p>
            <w:pPr>
              <w:spacing w:after="20"/>
            </w:pPr>
            <w:r/>
            <w:r>
              <w:rPr>
                <w:b w:val="0"/>
                <w:sz w:val="18"/>
              </w:rPr>
              <w:t>H2 P2 Q1</w:t>
            </w:r>
          </w:p>
        </w:tc>
        <w:tc>
          <w:tcPr>
            <w:tcW w:type="dxa" w:w="2041"/>
          </w:tcPr>
          <w:p>
            <w:pPr>
              <w:spacing w:after="20"/>
            </w:pPr>
            <w:r/>
            <w:r>
              <w:rPr>
                <w:b w:val="0"/>
                <w:sz w:val="18"/>
              </w:rPr>
              <w:t>Promotion of cycling, Ang Mo Kio</w:t>
            </w:r>
          </w:p>
        </w:tc>
        <w:tc>
          <w:tcPr>
            <w:tcW w:type="dxa" w:w="2041"/>
          </w:tcPr>
          <w:p>
            <w:pPr>
              <w:spacing w:after="20"/>
            </w:pPr>
            <w:r/>
            <w:r>
              <w:rPr>
                <w:b w:val="0"/>
                <w:sz w:val="18"/>
              </w:rPr>
              <w:t>Community response to CC</w:t>
            </w:r>
          </w:p>
        </w:tc>
        <w:tc>
          <w:tcPr>
            <w:tcW w:type="dxa" w:w="2041"/>
          </w:tcPr>
          <w:p>
            <w:pPr>
              <w:spacing w:after="20"/>
            </w:pPr>
            <w:r/>
            <w:r>
              <w:rPr>
                <w:b w:val="0"/>
                <w:sz w:val="18"/>
              </w:rPr>
            </w:r>
          </w:p>
        </w:tc>
      </w:tr>
      <w:tr>
        <w:tc>
          <w:tcPr>
            <w:tcW w:type="dxa" w:w="2041"/>
          </w:tcPr>
          <w:p>
            <w:pPr>
              <w:spacing w:after="20"/>
            </w:pPr>
            <w:r/>
            <w:r>
              <w:rPr>
                <w:b w:val="0"/>
                <w:sz w:val="18"/>
              </w:rPr>
              <w:t>NJC 2025</w:t>
            </w:r>
          </w:p>
        </w:tc>
        <w:tc>
          <w:tcPr>
            <w:tcW w:type="dxa" w:w="2041"/>
          </w:tcPr>
          <w:p>
            <w:pPr>
              <w:spacing w:after="20"/>
            </w:pPr>
            <w:r/>
            <w:r>
              <w:rPr>
                <w:b w:val="0"/>
                <w:sz w:val="18"/>
              </w:rPr>
              <w:t>H1 Q1</w:t>
            </w:r>
          </w:p>
        </w:tc>
        <w:tc>
          <w:tcPr>
            <w:tcW w:type="dxa" w:w="2041"/>
          </w:tcPr>
          <w:p>
            <w:pPr>
              <w:spacing w:after="20"/>
            </w:pPr>
            <w:r/>
            <w:r>
              <w:rPr>
                <w:b w:val="0"/>
                <w:sz w:val="18"/>
              </w:rPr>
              <w:t>Food waste reduction initiatives, Bishan</w:t>
            </w:r>
          </w:p>
        </w:tc>
        <w:tc>
          <w:tcPr>
            <w:tcW w:type="dxa" w:w="2041"/>
          </w:tcPr>
          <w:p>
            <w:pPr>
              <w:spacing w:after="20"/>
            </w:pPr>
            <w:r/>
            <w:r>
              <w:rPr>
                <w:b w:val="0"/>
                <w:sz w:val="18"/>
              </w:rPr>
              <w:t>Community response to CC</w:t>
            </w:r>
          </w:p>
        </w:tc>
        <w:tc>
          <w:tcPr>
            <w:tcW w:type="dxa" w:w="2041"/>
          </w:tcPr>
          <w:p>
            <w:pPr>
              <w:spacing w:after="20"/>
            </w:pPr>
            <w:r/>
            <w:r>
              <w:rPr>
                <w:b w:val="0"/>
                <w:sz w:val="18"/>
              </w:rPr>
            </w:r>
          </w:p>
        </w:tc>
      </w:tr>
      <w:tr>
        <w:tc>
          <w:tcPr>
            <w:tcW w:type="dxa" w:w="2041"/>
          </w:tcPr>
          <w:p>
            <w:pPr>
              <w:spacing w:after="20"/>
            </w:pPr>
            <w:r/>
            <w:r>
              <w:rPr>
                <w:b w:val="0"/>
                <w:sz w:val="18"/>
              </w:rPr>
              <w:t>NJC 2025</w:t>
            </w:r>
          </w:p>
        </w:tc>
        <w:tc>
          <w:tcPr>
            <w:tcW w:type="dxa" w:w="2041"/>
          </w:tcPr>
          <w:p>
            <w:pPr>
              <w:spacing w:after="20"/>
            </w:pPr>
            <w:r/>
            <w:r>
              <w:rPr>
                <w:b w:val="0"/>
                <w:sz w:val="18"/>
              </w:rPr>
              <w:t>H2 P2 Q1</w:t>
            </w:r>
          </w:p>
        </w:tc>
        <w:tc>
          <w:tcPr>
            <w:tcW w:type="dxa" w:w="2041"/>
          </w:tcPr>
          <w:p>
            <w:pPr>
              <w:spacing w:after="20"/>
            </w:pPr>
            <w:r/>
            <w:r>
              <w:rPr>
                <w:b w:val="0"/>
                <w:sz w:val="18"/>
              </w:rPr>
              <w:t>Youth textile recycling &amp; upcycling, Serangoon</w:t>
            </w:r>
          </w:p>
        </w:tc>
        <w:tc>
          <w:tcPr>
            <w:tcW w:type="dxa" w:w="2041"/>
          </w:tcPr>
          <w:p>
            <w:pPr>
              <w:spacing w:after="20"/>
            </w:pPr>
            <w:r/>
            <w:r>
              <w:rPr>
                <w:b w:val="0"/>
                <w:sz w:val="18"/>
              </w:rPr>
              <w:t>Community response to CC</w:t>
            </w:r>
          </w:p>
        </w:tc>
        <w:tc>
          <w:tcPr>
            <w:tcW w:type="dxa" w:w="2041"/>
          </w:tcPr>
          <w:p>
            <w:pPr>
              <w:spacing w:after="20"/>
            </w:pPr>
            <w:r/>
            <w:r>
              <w:rPr>
                <w:b w:val="0"/>
                <w:sz w:val="18"/>
              </w:rPr>
            </w:r>
          </w:p>
        </w:tc>
      </w:tr>
      <w:tr>
        <w:tc>
          <w:tcPr>
            <w:tcW w:type="dxa" w:w="2041"/>
          </w:tcPr>
          <w:p>
            <w:pPr>
              <w:spacing w:after="20"/>
            </w:pPr>
            <w:r/>
            <w:r>
              <w:rPr>
                <w:b w:val="0"/>
                <w:sz w:val="18"/>
              </w:rPr>
              <w:t>ACJC 2026</w:t>
            </w:r>
          </w:p>
        </w:tc>
        <w:tc>
          <w:tcPr>
            <w:tcW w:type="dxa" w:w="2041"/>
          </w:tcPr>
          <w:p>
            <w:pPr>
              <w:spacing w:after="20"/>
            </w:pPr>
            <w:r/>
            <w:r>
              <w:rPr>
                <w:b w:val="0"/>
                <w:sz w:val="18"/>
              </w:rPr>
              <w:t>H1 Q1</w:t>
            </w:r>
          </w:p>
        </w:tc>
        <w:tc>
          <w:tcPr>
            <w:tcW w:type="dxa" w:w="2041"/>
          </w:tcPr>
          <w:p>
            <w:pPr>
              <w:spacing w:after="20"/>
            </w:pPr>
            <w:r/>
            <w:r>
              <w:rPr>
                <w:b w:val="0"/>
                <w:sz w:val="18"/>
              </w:rPr>
              <w:t>Community response to expansion of cycling paths, Ang Mo Kio</w:t>
            </w:r>
          </w:p>
        </w:tc>
        <w:tc>
          <w:tcPr>
            <w:tcW w:type="dxa" w:w="2041"/>
          </w:tcPr>
          <w:p>
            <w:pPr>
              <w:spacing w:after="20"/>
            </w:pPr>
            <w:r/>
            <w:r>
              <w:rPr>
                <w:b w:val="0"/>
                <w:sz w:val="18"/>
              </w:rPr>
              <w:t>Community response to CC</w:t>
            </w:r>
          </w:p>
        </w:tc>
        <w:tc>
          <w:tcPr>
            <w:tcW w:type="dxa" w:w="2041"/>
          </w:tcPr>
          <w:p>
            <w:pPr>
              <w:spacing w:after="20"/>
            </w:pPr>
            <w:r/>
            <w:r>
              <w:rPr>
                <w:b w:val="0"/>
                <w:sz w:val="18"/>
              </w:rPr>
            </w:r>
          </w:p>
        </w:tc>
      </w:tr>
      <w:tr>
        <w:tc>
          <w:tcPr>
            <w:tcW w:type="dxa" w:w="2041"/>
          </w:tcPr>
          <w:p>
            <w:pPr>
              <w:spacing w:after="20"/>
            </w:pPr>
            <w:r/>
            <w:r>
              <w:rPr>
                <w:b w:val="0"/>
                <w:sz w:val="18"/>
              </w:rPr>
              <w:t>JPJC 2026</w:t>
            </w:r>
          </w:p>
        </w:tc>
        <w:tc>
          <w:tcPr>
            <w:tcW w:type="dxa" w:w="2041"/>
          </w:tcPr>
          <w:p>
            <w:pPr>
              <w:spacing w:after="20"/>
            </w:pPr>
            <w:r/>
            <w:r>
              <w:rPr>
                <w:b w:val="0"/>
                <w:sz w:val="18"/>
              </w:rPr>
              <w:t>H1 Q1</w:t>
            </w:r>
          </w:p>
        </w:tc>
        <w:tc>
          <w:tcPr>
            <w:tcW w:type="dxa" w:w="2041"/>
          </w:tcPr>
          <w:p>
            <w:pPr>
              <w:spacing w:after="20"/>
            </w:pPr>
            <w:r/>
            <w:r>
              <w:rPr>
                <w:b w:val="0"/>
                <w:sz w:val="18"/>
              </w:rPr>
              <w:t>Beverage Container Return Scheme participation by age, Bukit Panjang</w:t>
            </w:r>
          </w:p>
        </w:tc>
        <w:tc>
          <w:tcPr>
            <w:tcW w:type="dxa" w:w="2041"/>
          </w:tcPr>
          <w:p>
            <w:pPr>
              <w:spacing w:after="20"/>
            </w:pPr>
            <w:r/>
            <w:r>
              <w:rPr>
                <w:b w:val="0"/>
                <w:sz w:val="18"/>
              </w:rPr>
              <w:t>Community response to CC</w:t>
            </w:r>
          </w:p>
        </w:tc>
        <w:tc>
          <w:tcPr>
            <w:tcW w:type="dxa" w:w="2041"/>
          </w:tcPr>
          <w:p>
            <w:pPr>
              <w:spacing w:after="20"/>
            </w:pPr>
            <w:r/>
            <w:r>
              <w:rPr>
                <w:b w:val="0"/>
                <w:sz w:val="18"/>
              </w:rPr>
            </w:r>
          </w:p>
        </w:tc>
      </w:tr>
      <w:tr>
        <w:tc>
          <w:tcPr>
            <w:tcW w:type="dxa" w:w="2041"/>
          </w:tcPr>
          <w:p>
            <w:pPr>
              <w:spacing w:after="20"/>
            </w:pPr>
            <w:r/>
            <w:r>
              <w:rPr>
                <w:b w:val="0"/>
                <w:sz w:val="18"/>
              </w:rPr>
              <w:t>NJC 2026</w:t>
            </w:r>
          </w:p>
        </w:tc>
        <w:tc>
          <w:tcPr>
            <w:tcW w:type="dxa" w:w="2041"/>
          </w:tcPr>
          <w:p>
            <w:pPr>
              <w:spacing w:after="20"/>
            </w:pPr>
            <w:r/>
            <w:r>
              <w:rPr>
                <w:b w:val="0"/>
                <w:sz w:val="18"/>
              </w:rPr>
              <w:t>H1 Q1</w:t>
            </w:r>
          </w:p>
        </w:tc>
        <w:tc>
          <w:tcPr>
            <w:tcW w:type="dxa" w:w="2041"/>
          </w:tcPr>
          <w:p>
            <w:pPr>
              <w:spacing w:after="20"/>
            </w:pPr>
            <w:r/>
            <w:r>
              <w:rPr>
                <w:b w:val="0"/>
                <w:sz w:val="18"/>
              </w:rPr>
              <w:t>Perceptions of sustainable healthy diets, Fremantle</w:t>
            </w:r>
          </w:p>
        </w:tc>
        <w:tc>
          <w:tcPr>
            <w:tcW w:type="dxa" w:w="2041"/>
          </w:tcPr>
          <w:p>
            <w:pPr>
              <w:spacing w:after="20"/>
            </w:pPr>
            <w:r/>
            <w:r>
              <w:rPr>
                <w:b w:val="0"/>
                <w:sz w:val="18"/>
              </w:rPr>
              <w:t>Community response to CC</w:t>
            </w:r>
          </w:p>
        </w:tc>
        <w:tc>
          <w:tcPr>
            <w:tcW w:type="dxa" w:w="2041"/>
          </w:tcPr>
          <w:p>
            <w:pPr>
              <w:spacing w:after="20"/>
            </w:pPr>
            <w:r/>
            <w:r>
              <w:rPr>
                <w:b w:val="0"/>
                <w:sz w:val="18"/>
              </w:rPr>
            </w:r>
          </w:p>
        </w:tc>
      </w:tr>
      <w:tr>
        <w:tc>
          <w:tcPr>
            <w:tcW w:type="dxa" w:w="2041"/>
          </w:tcPr>
          <w:p>
            <w:pPr>
              <w:spacing w:after="20"/>
            </w:pPr>
            <w:r/>
            <w:r>
              <w:rPr>
                <w:b w:val="0"/>
                <w:sz w:val="18"/>
              </w:rPr>
              <w:t>NJC 2026</w:t>
            </w:r>
          </w:p>
        </w:tc>
        <w:tc>
          <w:tcPr>
            <w:tcW w:type="dxa" w:w="2041"/>
          </w:tcPr>
          <w:p>
            <w:pPr>
              <w:spacing w:after="20"/>
            </w:pPr>
            <w:r/>
            <w:r>
              <w:rPr>
                <w:b w:val="0"/>
                <w:sz w:val="18"/>
              </w:rPr>
              <w:t>H2 P2 Q1</w:t>
            </w:r>
          </w:p>
        </w:tc>
        <w:tc>
          <w:tcPr>
            <w:tcW w:type="dxa" w:w="2041"/>
          </w:tcPr>
          <w:p>
            <w:pPr>
              <w:spacing w:after="20"/>
            </w:pPr>
            <w:r/>
            <w:r>
              <w:rPr>
                <w:b w:val="0"/>
                <w:sz w:val="18"/>
              </w:rPr>
              <w:t>E-waste recycling &amp; repair by age, Ang Mo Kio</w:t>
            </w:r>
          </w:p>
        </w:tc>
        <w:tc>
          <w:tcPr>
            <w:tcW w:type="dxa" w:w="2041"/>
          </w:tcPr>
          <w:p>
            <w:pPr>
              <w:spacing w:after="20"/>
            </w:pPr>
            <w:r/>
            <w:r>
              <w:rPr>
                <w:b w:val="0"/>
                <w:sz w:val="18"/>
              </w:rPr>
              <w:t>Community response to CC</w:t>
            </w:r>
          </w:p>
        </w:tc>
        <w:tc>
          <w:tcPr>
            <w:tcW w:type="dxa" w:w="2041"/>
          </w:tcPr>
          <w:p>
            <w:pPr>
              <w:spacing w:after="20"/>
            </w:pPr>
            <w:r/>
            <w:r>
              <w:rPr>
                <w:b w:val="0"/>
                <w:sz w:val="18"/>
              </w:rPr>
            </w:r>
          </w:p>
        </w:tc>
      </w:tr>
      <w:tr>
        <w:tc>
          <w:tcPr>
            <w:tcW w:type="dxa" w:w="2041"/>
          </w:tcPr>
          <w:p>
            <w:pPr>
              <w:spacing w:after="20"/>
            </w:pPr>
            <w:r/>
            <w:r>
              <w:rPr>
                <w:b w:val="0"/>
                <w:sz w:val="18"/>
              </w:rPr>
              <w:t>RVHS 2026</w:t>
            </w:r>
          </w:p>
        </w:tc>
        <w:tc>
          <w:tcPr>
            <w:tcW w:type="dxa" w:w="2041"/>
          </w:tcPr>
          <w:p>
            <w:pPr>
              <w:spacing w:after="20"/>
            </w:pPr>
            <w:r/>
            <w:r>
              <w:rPr>
                <w:b w:val="0"/>
                <w:sz w:val="18"/>
              </w:rPr>
              <w:t>H2 P2 Q1</w:t>
            </w:r>
          </w:p>
        </w:tc>
        <w:tc>
          <w:tcPr>
            <w:tcW w:type="dxa" w:w="2041"/>
          </w:tcPr>
          <w:p>
            <w:pPr>
              <w:spacing w:after="20"/>
            </w:pPr>
            <w:r/>
            <w:r>
              <w:rPr>
                <w:b w:val="0"/>
                <w:sz w:val="18"/>
              </w:rPr>
              <w:t>Resource conservation features, City Square Mall</w:t>
            </w:r>
          </w:p>
        </w:tc>
        <w:tc>
          <w:tcPr>
            <w:tcW w:type="dxa" w:w="2041"/>
          </w:tcPr>
          <w:p>
            <w:pPr>
              <w:spacing w:after="20"/>
            </w:pPr>
            <w:r/>
            <w:r>
              <w:rPr>
                <w:b w:val="0"/>
                <w:sz w:val="18"/>
              </w:rPr>
              <w:t>Community response to CC</w:t>
            </w:r>
          </w:p>
        </w:tc>
        <w:tc>
          <w:tcPr>
            <w:tcW w:type="dxa" w:w="2041"/>
          </w:tcPr>
          <w:p>
            <w:pPr>
              <w:spacing w:after="20"/>
            </w:pPr>
            <w:r/>
            <w:r>
              <w:rPr>
                <w:b w:val="0"/>
                <w:sz w:val="18"/>
              </w:rPr>
            </w:r>
          </w:p>
        </w:tc>
      </w:tr>
    </w:tbl>
    <w:p>
      <w:pPr>
        <w:pStyle w:val="Heading1"/>
      </w:pPr>
      <w:r>
        <w:t>4. To review: inconsistent fieldwork filing</w:t>
      </w:r>
    </w:p>
    <w:p>
      <w:r>
        <w:rPr>
          <w:i/>
          <w:color w:val="595959"/>
          <w:sz w:val="18"/>
        </w:rPr>
        <w:t>Similar scenarios ended up in different groups. Suggested rule: 'Community response to CC' only when the question itself frames the study as a response to climate change; otherwise 'Others'. Tell me the rule you want and I'll apply it everywhere.</w:t>
      </w:r>
    </w:p>
    <w:tbl>
      <w:tblPr>
        <w:tblStyle w:val="TableGrid"/>
        <w:tblW w:type="auto" w:w="0"/>
        <w:tblLook w:firstColumn="1" w:firstRow="1" w:lastColumn="0" w:lastRow="0" w:noHBand="0" w:noVBand="1" w:val="04A0"/>
      </w:tblPr>
      <w:tblGrid>
        <w:gridCol w:w="2551"/>
        <w:gridCol w:w="2551"/>
        <w:gridCol w:w="2551"/>
        <w:gridCol w:w="2551"/>
      </w:tblGrid>
      <w:tr>
        <w:trPr>
          <w:tblHeader w:val="true"/>
        </w:trPr>
        <w:tc>
          <w:tcPr>
            <w:tcW w:type="dxa" w:w="2551"/>
            <w:shd w:val="clear" w:color="auto" w:fill="D9E2F3"/>
          </w:tcPr>
          <w:p>
            <w:pPr>
              <w:spacing w:after="20"/>
            </w:pPr>
            <w:r/>
            <w:r>
              <w:rPr>
                <w:b/>
                <w:sz w:val="18"/>
              </w:rPr>
              <w:t>Scenario type</w:t>
            </w:r>
          </w:p>
        </w:tc>
        <w:tc>
          <w:tcPr>
            <w:tcW w:type="dxa" w:w="2551"/>
            <w:shd w:val="clear" w:color="auto" w:fill="D9E2F3"/>
          </w:tcPr>
          <w:p>
            <w:pPr>
              <w:spacing w:after="20"/>
            </w:pPr>
            <w:r/>
            <w:r>
              <w:rPr>
                <w:b/>
                <w:sz w:val="18"/>
              </w:rPr>
              <w:t>Filed as Community response to CC</w:t>
            </w:r>
          </w:p>
        </w:tc>
        <w:tc>
          <w:tcPr>
            <w:tcW w:type="dxa" w:w="2551"/>
            <w:shd w:val="clear" w:color="auto" w:fill="D9E2F3"/>
          </w:tcPr>
          <w:p>
            <w:pPr>
              <w:spacing w:after="20"/>
            </w:pPr>
            <w:r/>
            <w:r>
              <w:rPr>
                <w:b/>
                <w:sz w:val="18"/>
              </w:rPr>
              <w:t>Filed as Others</w:t>
            </w:r>
          </w:p>
        </w:tc>
        <w:tc>
          <w:tcPr>
            <w:tcW w:type="dxa" w:w="2551"/>
            <w:shd w:val="clear" w:color="auto" w:fill="D9E2F3"/>
          </w:tcPr>
          <w:p>
            <w:pPr>
              <w:spacing w:after="20"/>
            </w:pPr>
            <w:r/>
            <w:r>
              <w:rPr>
                <w:b/>
                <w:sz w:val="18"/>
              </w:rPr>
              <w:t>Your decision</w:t>
            </w:r>
          </w:p>
        </w:tc>
      </w:tr>
      <w:tr>
        <w:tc>
          <w:tcPr>
            <w:tcW w:type="dxa" w:w="2551"/>
          </w:tcPr>
          <w:p>
            <w:pPr>
              <w:spacing w:after="20"/>
            </w:pPr>
            <w:r/>
            <w:r>
              <w:rPr>
                <w:b w:val="0"/>
                <w:sz w:val="18"/>
              </w:rPr>
              <w:t>Beverage Container Return Scheme (BCRS)</w:t>
            </w:r>
          </w:p>
        </w:tc>
        <w:tc>
          <w:tcPr>
            <w:tcW w:type="dxa" w:w="2551"/>
          </w:tcPr>
          <w:p>
            <w:pPr>
              <w:spacing w:after="20"/>
            </w:pPr>
            <w:r/>
            <w:r>
              <w:rPr>
                <w:b w:val="0"/>
                <w:sz w:val="18"/>
              </w:rPr>
              <w:t>ASRJC 2026 H2 P2, SAJC 2026 H1, TMJC 2026 H1</w:t>
            </w:r>
          </w:p>
        </w:tc>
        <w:tc>
          <w:tcPr>
            <w:tcW w:type="dxa" w:w="2551"/>
          </w:tcPr>
          <w:p>
            <w:pPr>
              <w:spacing w:after="20"/>
            </w:pPr>
            <w:r/>
            <w:r>
              <w:rPr>
                <w:b w:val="0"/>
                <w:sz w:val="18"/>
              </w:rPr>
              <w:t>JPJC 2026 H1</w:t>
            </w:r>
          </w:p>
        </w:tc>
        <w:tc>
          <w:tcPr>
            <w:tcW w:type="dxa" w:w="2551"/>
          </w:tcPr>
          <w:p>
            <w:pPr>
              <w:spacing w:after="20"/>
            </w:pPr>
            <w:r/>
            <w:r>
              <w:rPr>
                <w:b w:val="0"/>
                <w:sz w:val="18"/>
              </w:rPr>
            </w:r>
          </w:p>
        </w:tc>
      </w:tr>
      <w:tr>
        <w:tc>
          <w:tcPr>
            <w:tcW w:type="dxa" w:w="2551"/>
          </w:tcPr>
          <w:p>
            <w:pPr>
              <w:spacing w:after="20"/>
            </w:pPr>
            <w:r/>
            <w:r>
              <w:rPr>
                <w:b w:val="0"/>
                <w:sz w:val="18"/>
              </w:rPr>
              <w:t>Cycling / car-lite</w:t>
            </w:r>
          </w:p>
        </w:tc>
        <w:tc>
          <w:tcPr>
            <w:tcW w:type="dxa" w:w="2551"/>
          </w:tcPr>
          <w:p>
            <w:pPr>
              <w:spacing w:after="20"/>
            </w:pPr>
            <w:r/>
            <w:r>
              <w:rPr>
                <w:b w:val="0"/>
                <w:sz w:val="18"/>
              </w:rPr>
              <w:t>ASRJC 2025, TMJC 2026 H2 P2</w:t>
            </w:r>
          </w:p>
        </w:tc>
        <w:tc>
          <w:tcPr>
            <w:tcW w:type="dxa" w:w="2551"/>
          </w:tcPr>
          <w:p>
            <w:pPr>
              <w:spacing w:after="20"/>
            </w:pPr>
            <w:r/>
            <w:r>
              <w:rPr>
                <w:b w:val="0"/>
                <w:sz w:val="18"/>
              </w:rPr>
              <w:t>JPJC 2024 H1 &amp; H2 P2, ACJC 2026 H1</w:t>
            </w:r>
          </w:p>
        </w:tc>
        <w:tc>
          <w:tcPr>
            <w:tcW w:type="dxa" w:w="2551"/>
          </w:tcPr>
          <w:p>
            <w:pPr>
              <w:spacing w:after="20"/>
            </w:pPr>
            <w:r/>
            <w:r>
              <w:rPr>
                <w:b w:val="0"/>
                <w:sz w:val="18"/>
              </w:rPr>
            </w:r>
          </w:p>
        </w:tc>
      </w:tr>
      <w:tr>
        <w:tc>
          <w:tcPr>
            <w:tcW w:type="dxa" w:w="2551"/>
          </w:tcPr>
          <w:p>
            <w:pPr>
              <w:spacing w:after="20"/>
            </w:pPr>
            <w:r/>
            <w:r>
              <w:rPr>
                <w:b w:val="0"/>
                <w:sz w:val="18"/>
              </w:rPr>
              <w:t>Recycling / repair</w:t>
            </w:r>
          </w:p>
        </w:tc>
        <w:tc>
          <w:tcPr>
            <w:tcW w:type="dxa" w:w="2551"/>
          </w:tcPr>
          <w:p>
            <w:pPr>
              <w:spacing w:after="20"/>
            </w:pPr>
            <w:r/>
            <w:r>
              <w:rPr>
                <w:b w:val="0"/>
                <w:sz w:val="18"/>
              </w:rPr>
              <w:t>EJC 2026 H1 (REhub), TJC 2026 H1, ASRJC 2026 H1 (Repair Kopitiam)</w:t>
            </w:r>
          </w:p>
        </w:tc>
        <w:tc>
          <w:tcPr>
            <w:tcW w:type="dxa" w:w="2551"/>
          </w:tcPr>
          <w:p>
            <w:pPr>
              <w:spacing w:after="20"/>
            </w:pPr>
            <w:r/>
            <w:r>
              <w:rPr>
                <w:b w:val="0"/>
                <w:sz w:val="18"/>
              </w:rPr>
              <w:t>NJC 2025 H2 P2 (textiles), NJC 2026 H2 P2 (e-waste)</w:t>
            </w:r>
          </w:p>
        </w:tc>
        <w:tc>
          <w:tcPr>
            <w:tcW w:type="dxa" w:w="2551"/>
          </w:tcPr>
          <w:p>
            <w:pPr>
              <w:spacing w:after="20"/>
            </w:pPr>
            <w:r/>
            <w:r>
              <w:rPr>
                <w:b w:val="0"/>
                <w:sz w:val="18"/>
              </w:rPr>
            </w:r>
          </w:p>
        </w:tc>
      </w:tr>
    </w:tbl>
    <w:p>
      <w:pPr>
        <w:pStyle w:val="Heading1"/>
      </w:pPr>
      <w:r>
        <w:t>5. To review: borderline Key Question choices</w:t>
      </w:r>
    </w:p>
    <w:p>
      <w:r>
        <w:rPr>
          <w:i/>
          <w:color w:val="595959"/>
          <w:sz w:val="18"/>
        </w:rPr>
        <w:t>Questions where two Key Questions were both reasonable. The chosen one is in the grid; write the other code in the last column if you prefer it.</w:t>
      </w:r>
    </w:p>
    <w:tbl>
      <w:tblPr>
        <w:tblStyle w:val="TableGrid"/>
        <w:tblW w:type="auto" w:w="0"/>
        <w:tblLook w:firstColumn="1" w:firstRow="1" w:lastColumn="0" w:lastRow="0" w:noHBand="0" w:noVBand="1" w:val="04A0"/>
      </w:tblPr>
      <w:tblGrid>
        <w:gridCol w:w="1701"/>
        <w:gridCol w:w="1701"/>
        <w:gridCol w:w="1701"/>
        <w:gridCol w:w="1701"/>
        <w:gridCol w:w="1701"/>
        <w:gridCol w:w="1701"/>
      </w:tblGrid>
      <w:tr>
        <w:trPr>
          <w:tblHeader w:val="true"/>
        </w:trPr>
        <w:tc>
          <w:tcPr>
            <w:tcW w:type="dxa" w:w="1701"/>
            <w:shd w:val="clear" w:color="auto" w:fill="D9E2F3"/>
          </w:tcPr>
          <w:p>
            <w:pPr>
              <w:spacing w:after="20"/>
            </w:pPr>
            <w:r/>
            <w:r>
              <w:rPr>
                <w:b/>
                <w:sz w:val="18"/>
              </w:rPr>
              <w:t>School &amp; Year</w:t>
            </w:r>
          </w:p>
        </w:tc>
        <w:tc>
          <w:tcPr>
            <w:tcW w:type="dxa" w:w="1701"/>
            <w:shd w:val="clear" w:color="auto" w:fill="D9E2F3"/>
          </w:tcPr>
          <w:p>
            <w:pPr>
              <w:spacing w:after="20"/>
            </w:pPr>
            <w:r/>
            <w:r>
              <w:rPr>
                <w:b/>
                <w:sz w:val="18"/>
              </w:rPr>
              <w:t>Paper / Q</w:t>
            </w:r>
          </w:p>
        </w:tc>
        <w:tc>
          <w:tcPr>
            <w:tcW w:type="dxa" w:w="1701"/>
            <w:shd w:val="clear" w:color="auto" w:fill="D9E2F3"/>
          </w:tcPr>
          <w:p>
            <w:pPr>
              <w:spacing w:after="20"/>
            </w:pPr>
            <w:r/>
            <w:r>
              <w:rPr>
                <w:b/>
                <w:sz w:val="18"/>
              </w:rPr>
              <w:t>Question focus</w:t>
            </w:r>
          </w:p>
        </w:tc>
        <w:tc>
          <w:tcPr>
            <w:tcW w:type="dxa" w:w="1701"/>
            <w:shd w:val="clear" w:color="auto" w:fill="D9E2F3"/>
          </w:tcPr>
          <w:p>
            <w:pPr>
              <w:spacing w:after="20"/>
            </w:pPr>
            <w:r/>
            <w:r>
              <w:rPr>
                <w:b/>
                <w:sz w:val="18"/>
              </w:rPr>
              <w:t>Chosen</w:t>
            </w:r>
          </w:p>
        </w:tc>
        <w:tc>
          <w:tcPr>
            <w:tcW w:type="dxa" w:w="1701"/>
            <w:shd w:val="clear" w:color="auto" w:fill="D9E2F3"/>
          </w:tcPr>
          <w:p>
            <w:pPr>
              <w:spacing w:after="20"/>
            </w:pPr>
            <w:r/>
            <w:r>
              <w:rPr>
                <w:b/>
                <w:sz w:val="18"/>
              </w:rPr>
              <w:t>Alternative</w:t>
            </w:r>
          </w:p>
        </w:tc>
        <w:tc>
          <w:tcPr>
            <w:tcW w:type="dxa" w:w="1701"/>
            <w:shd w:val="clear" w:color="auto" w:fill="D9E2F3"/>
          </w:tcPr>
          <w:p>
            <w:pPr>
              <w:spacing w:after="20"/>
            </w:pPr>
            <w:r/>
            <w:r>
              <w:rPr>
                <w:b/>
                <w:sz w:val="18"/>
              </w:rPr>
              <w:t>Your decision</w:t>
            </w:r>
          </w:p>
        </w:tc>
      </w:tr>
      <w:tr>
        <w:tc>
          <w:tcPr>
            <w:tcW w:type="dxa" w:w="1701"/>
          </w:tcPr>
          <w:p>
            <w:pPr>
              <w:spacing w:after="20"/>
            </w:pPr>
            <w:r/>
            <w:r>
              <w:rPr>
                <w:b w:val="0"/>
                <w:sz w:val="18"/>
              </w:rPr>
              <w:t>RVHS 2024</w:t>
            </w:r>
          </w:p>
        </w:tc>
        <w:tc>
          <w:tcPr>
            <w:tcW w:type="dxa" w:w="1701"/>
          </w:tcPr>
          <w:p>
            <w:pPr>
              <w:spacing w:after="20"/>
            </w:pPr>
            <w:r/>
            <w:r>
              <w:rPr>
                <w:b w:val="0"/>
                <w:sz w:val="18"/>
              </w:rPr>
              <w:t>H2 P2 Q4</w:t>
            </w:r>
          </w:p>
        </w:tc>
        <w:tc>
          <w:tcPr>
            <w:tcW w:type="dxa" w:w="1701"/>
          </w:tcPr>
          <w:p>
            <w:pPr>
              <w:spacing w:after="20"/>
            </w:pPr>
            <w:r/>
            <w:r>
              <w:rPr>
                <w:b w:val="0"/>
                <w:sz w:val="18"/>
              </w:rPr>
              <w:t>Uncertainty as the greatest impediment to CC responses</w:t>
            </w:r>
          </w:p>
        </w:tc>
        <w:tc>
          <w:tcPr>
            <w:tcW w:type="dxa" w:w="1701"/>
          </w:tcPr>
          <w:p>
            <w:pPr>
              <w:spacing w:after="20"/>
            </w:pPr>
            <w:r/>
            <w:r>
              <w:rPr>
                <w:b w:val="0"/>
                <w:sz w:val="18"/>
              </w:rPr>
              <w:t>3.2.3c; 3.2.2c</w:t>
            </w:r>
          </w:p>
        </w:tc>
        <w:tc>
          <w:tcPr>
            <w:tcW w:type="dxa" w:w="1701"/>
          </w:tcPr>
          <w:p>
            <w:pPr>
              <w:spacing w:after="20"/>
            </w:pPr>
            <w:r/>
            <w:r>
              <w:rPr>
                <w:b w:val="0"/>
                <w:sz w:val="18"/>
              </w:rPr>
              <w:t>3.2.3c only</w:t>
            </w:r>
          </w:p>
        </w:tc>
        <w:tc>
          <w:tcPr>
            <w:tcW w:type="dxa" w:w="1701"/>
          </w:tcPr>
          <w:p>
            <w:pPr>
              <w:spacing w:after="20"/>
            </w:pPr>
            <w:r/>
            <w:r>
              <w:rPr>
                <w:b w:val="0"/>
                <w:sz w:val="18"/>
              </w:rPr>
            </w:r>
          </w:p>
        </w:tc>
      </w:tr>
      <w:tr>
        <w:tc>
          <w:tcPr>
            <w:tcW w:type="dxa" w:w="1701"/>
          </w:tcPr>
          <w:p>
            <w:pPr>
              <w:spacing w:after="20"/>
            </w:pPr>
            <w:r/>
            <w:r>
              <w:rPr>
                <w:b w:val="0"/>
                <w:sz w:val="18"/>
              </w:rPr>
              <w:t>TJC 2024</w:t>
            </w:r>
          </w:p>
        </w:tc>
        <w:tc>
          <w:tcPr>
            <w:tcW w:type="dxa" w:w="1701"/>
          </w:tcPr>
          <w:p>
            <w:pPr>
              <w:spacing w:after="20"/>
            </w:pPr>
            <w:r/>
            <w:r>
              <w:rPr>
                <w:b w:val="0"/>
                <w:sz w:val="18"/>
              </w:rPr>
              <w:t>H1 Q6</w:t>
            </w:r>
          </w:p>
        </w:tc>
        <w:tc>
          <w:tcPr>
            <w:tcW w:type="dxa" w:w="1701"/>
          </w:tcPr>
          <w:p>
            <w:pPr>
              <w:spacing w:after="20"/>
            </w:pPr>
            <w:r/>
            <w:r>
              <w:rPr>
                <w:b w:val="0"/>
                <w:sz w:val="18"/>
              </w:rPr>
              <w:t>Uncertainty as the biggest challenge to CC responses</w:t>
            </w:r>
          </w:p>
        </w:tc>
        <w:tc>
          <w:tcPr>
            <w:tcW w:type="dxa" w:w="1701"/>
          </w:tcPr>
          <w:p>
            <w:pPr>
              <w:spacing w:after="20"/>
            </w:pPr>
            <w:r/>
            <w:r>
              <w:rPr>
                <w:b w:val="0"/>
                <w:sz w:val="18"/>
              </w:rPr>
              <w:t>1.2.3c; 1.2.2c</w:t>
            </w:r>
          </w:p>
        </w:tc>
        <w:tc>
          <w:tcPr>
            <w:tcW w:type="dxa" w:w="1701"/>
          </w:tcPr>
          <w:p>
            <w:pPr>
              <w:spacing w:after="20"/>
            </w:pPr>
            <w:r/>
            <w:r>
              <w:rPr>
                <w:b w:val="0"/>
                <w:sz w:val="18"/>
              </w:rPr>
              <w:t>1.2.3c only</w:t>
            </w:r>
          </w:p>
        </w:tc>
        <w:tc>
          <w:tcPr>
            <w:tcW w:type="dxa" w:w="1701"/>
          </w:tcPr>
          <w:p>
            <w:pPr>
              <w:spacing w:after="20"/>
            </w:pPr>
            <w:r/>
            <w:r>
              <w:rPr>
                <w:b w:val="0"/>
                <w:sz w:val="18"/>
              </w:rPr>
            </w:r>
          </w:p>
        </w:tc>
      </w:tr>
      <w:tr>
        <w:tc>
          <w:tcPr>
            <w:tcW w:type="dxa" w:w="1701"/>
          </w:tcPr>
          <w:p>
            <w:pPr>
              <w:spacing w:after="20"/>
            </w:pPr>
            <w:r/>
            <w:r>
              <w:rPr>
                <w:b w:val="0"/>
                <w:sz w:val="18"/>
              </w:rPr>
              <w:t>SAJC 2024</w:t>
            </w:r>
          </w:p>
        </w:tc>
        <w:tc>
          <w:tcPr>
            <w:tcW w:type="dxa" w:w="1701"/>
          </w:tcPr>
          <w:p>
            <w:pPr>
              <w:spacing w:after="20"/>
            </w:pPr>
            <w:r/>
            <w:r>
              <w:rPr>
                <w:b w:val="0"/>
                <w:sz w:val="18"/>
              </w:rPr>
              <w:t>H2 P2 Q4</w:t>
            </w:r>
          </w:p>
        </w:tc>
        <w:tc>
          <w:tcPr>
            <w:tcW w:type="dxa" w:w="1701"/>
          </w:tcPr>
          <w:p>
            <w:pPr>
              <w:spacing w:after="20"/>
            </w:pPr>
            <w:r/>
            <w:r>
              <w:rPr>
                <w:b w:val="0"/>
                <w:sz w:val="18"/>
              </w:rPr>
              <w:t>CC due more to natural than human causes</w:t>
            </w:r>
          </w:p>
        </w:tc>
        <w:tc>
          <w:tcPr>
            <w:tcW w:type="dxa" w:w="1701"/>
          </w:tcPr>
          <w:p>
            <w:pPr>
              <w:spacing w:after="20"/>
            </w:pPr>
            <w:r/>
            <w:r>
              <w:rPr>
                <w:b w:val="0"/>
                <w:sz w:val="18"/>
              </w:rPr>
              <w:t>3.2.1b; 3.2.1c</w:t>
            </w:r>
          </w:p>
        </w:tc>
        <w:tc>
          <w:tcPr>
            <w:tcW w:type="dxa" w:w="1701"/>
          </w:tcPr>
          <w:p>
            <w:pPr>
              <w:spacing w:after="20"/>
            </w:pPr>
            <w:r/>
            <w:r>
              <w:rPr>
                <w:b w:val="0"/>
                <w:sz w:val="18"/>
              </w:rPr>
              <w:t>3.2.1b only</w:t>
            </w:r>
          </w:p>
        </w:tc>
        <w:tc>
          <w:tcPr>
            <w:tcW w:type="dxa" w:w="1701"/>
          </w:tcPr>
          <w:p>
            <w:pPr>
              <w:spacing w:after="20"/>
            </w:pPr>
            <w:r/>
            <w:r>
              <w:rPr>
                <w:b w:val="0"/>
                <w:sz w:val="18"/>
              </w:rPr>
            </w:r>
          </w:p>
        </w:tc>
      </w:tr>
      <w:tr>
        <w:tc>
          <w:tcPr>
            <w:tcW w:type="dxa" w:w="1701"/>
          </w:tcPr>
          <w:p>
            <w:pPr>
              <w:spacing w:after="20"/>
            </w:pPr>
            <w:r/>
            <w:r>
              <w:rPr>
                <w:b w:val="0"/>
                <w:sz w:val="18"/>
              </w:rPr>
              <w:t>TJC 2024</w:t>
            </w:r>
          </w:p>
        </w:tc>
        <w:tc>
          <w:tcPr>
            <w:tcW w:type="dxa" w:w="1701"/>
          </w:tcPr>
          <w:p>
            <w:pPr>
              <w:spacing w:after="20"/>
            </w:pPr>
            <w:r/>
            <w:r>
              <w:rPr>
                <w:b w:val="0"/>
                <w:sz w:val="18"/>
              </w:rPr>
              <w:t>H2 P2 Q4</w:t>
            </w:r>
          </w:p>
        </w:tc>
        <w:tc>
          <w:tcPr>
            <w:tcW w:type="dxa" w:w="1701"/>
          </w:tcPr>
          <w:p>
            <w:pPr>
              <w:spacing w:after="20"/>
            </w:pPr>
            <w:r/>
            <w:r>
              <w:rPr>
                <w:b w:val="0"/>
                <w:sz w:val="18"/>
              </w:rPr>
              <w:t>'SUD is difficult to achieve'</w:t>
            </w:r>
          </w:p>
        </w:tc>
        <w:tc>
          <w:tcPr>
            <w:tcW w:type="dxa" w:w="1701"/>
          </w:tcPr>
          <w:p>
            <w:pPr>
              <w:spacing w:after="20"/>
            </w:pPr>
            <w:r/>
            <w:r>
              <w:rPr>
                <w:b w:val="0"/>
                <w:sz w:val="18"/>
              </w:rPr>
              <w:t>3.1.1b</w:t>
            </w:r>
          </w:p>
        </w:tc>
        <w:tc>
          <w:tcPr>
            <w:tcW w:type="dxa" w:w="1701"/>
          </w:tcPr>
          <w:p>
            <w:pPr>
              <w:spacing w:after="20"/>
            </w:pPr>
            <w:r/>
            <w:r>
              <w:rPr>
                <w:b w:val="0"/>
                <w:sz w:val="18"/>
              </w:rPr>
              <w:t>3.1.1c or 3.1.1a</w:t>
            </w:r>
          </w:p>
        </w:tc>
        <w:tc>
          <w:tcPr>
            <w:tcW w:type="dxa" w:w="1701"/>
          </w:tcPr>
          <w:p>
            <w:pPr>
              <w:spacing w:after="20"/>
            </w:pPr>
            <w:r/>
            <w:r>
              <w:rPr>
                <w:b w:val="0"/>
                <w:sz w:val="18"/>
              </w:rPr>
            </w:r>
          </w:p>
        </w:tc>
      </w:tr>
      <w:tr>
        <w:tc>
          <w:tcPr>
            <w:tcW w:type="dxa" w:w="1701"/>
          </w:tcPr>
          <w:p>
            <w:pPr>
              <w:spacing w:after="20"/>
            </w:pPr>
            <w:r/>
            <w:r>
              <w:rPr>
                <w:b w:val="0"/>
                <w:sz w:val="18"/>
              </w:rPr>
              <w:t>TMJC 2024</w:t>
            </w:r>
          </w:p>
        </w:tc>
        <w:tc>
          <w:tcPr>
            <w:tcW w:type="dxa" w:w="1701"/>
          </w:tcPr>
          <w:p>
            <w:pPr>
              <w:spacing w:after="20"/>
            </w:pPr>
            <w:r/>
            <w:r>
              <w:rPr>
                <w:b w:val="0"/>
                <w:sz w:val="18"/>
              </w:rPr>
              <w:t>H1 Q3(e)</w:t>
            </w:r>
          </w:p>
        </w:tc>
        <w:tc>
          <w:tcPr>
            <w:tcW w:type="dxa" w:w="1701"/>
          </w:tcPr>
          <w:p>
            <w:pPr>
              <w:spacing w:after="20"/>
            </w:pPr>
            <w:r/>
            <w:r>
              <w:rPr>
                <w:b w:val="0"/>
                <w:sz w:val="18"/>
              </w:rPr>
              <w:t>Landfill GHG harming the environment</w:t>
            </w:r>
          </w:p>
        </w:tc>
        <w:tc>
          <w:tcPr>
            <w:tcW w:type="dxa" w:w="1701"/>
          </w:tcPr>
          <w:p>
            <w:pPr>
              <w:spacing w:after="20"/>
            </w:pPr>
            <w:r/>
            <w:r>
              <w:rPr>
                <w:b w:val="0"/>
                <w:sz w:val="18"/>
              </w:rPr>
              <w:t>1.2.2a</w:t>
            </w:r>
          </w:p>
        </w:tc>
        <w:tc>
          <w:tcPr>
            <w:tcW w:type="dxa" w:w="1701"/>
          </w:tcPr>
          <w:p>
            <w:pPr>
              <w:spacing w:after="20"/>
            </w:pPr>
            <w:r/>
            <w:r>
              <w:rPr>
                <w:b w:val="0"/>
                <w:sz w:val="18"/>
              </w:rPr>
              <w:t>1.2.1c</w:t>
            </w:r>
          </w:p>
        </w:tc>
        <w:tc>
          <w:tcPr>
            <w:tcW w:type="dxa" w:w="1701"/>
          </w:tcPr>
          <w:p>
            <w:pPr>
              <w:spacing w:after="20"/>
            </w:pPr>
            <w:r/>
            <w:r>
              <w:rPr>
                <w:b w:val="0"/>
                <w:sz w:val="18"/>
              </w:rPr>
            </w:r>
          </w:p>
        </w:tc>
      </w:tr>
      <w:tr>
        <w:tc>
          <w:tcPr>
            <w:tcW w:type="dxa" w:w="1701"/>
          </w:tcPr>
          <w:p>
            <w:pPr>
              <w:spacing w:after="20"/>
            </w:pPr>
            <w:r/>
            <w:r>
              <w:rPr>
                <w:b w:val="0"/>
                <w:sz w:val="18"/>
              </w:rPr>
              <w:t>YIJC 2024</w:t>
            </w:r>
          </w:p>
        </w:tc>
        <w:tc>
          <w:tcPr>
            <w:tcW w:type="dxa" w:w="1701"/>
          </w:tcPr>
          <w:p>
            <w:pPr>
              <w:spacing w:after="20"/>
            </w:pPr>
            <w:r/>
            <w:r>
              <w:rPr>
                <w:b w:val="0"/>
                <w:sz w:val="18"/>
              </w:rPr>
              <w:t>H2 P1 Q1(a)(b)</w:t>
            </w:r>
          </w:p>
        </w:tc>
        <w:tc>
          <w:tcPr>
            <w:tcW w:type="dxa" w:w="1701"/>
          </w:tcPr>
          <w:p>
            <w:pPr>
              <w:spacing w:after="20"/>
            </w:pPr>
            <w:r/>
            <w:r>
              <w:rPr>
                <w:b w:val="0"/>
                <w:sz w:val="18"/>
              </w:rPr>
              <w:t>E-waste collection</w:t>
            </w:r>
          </w:p>
        </w:tc>
        <w:tc>
          <w:tcPr>
            <w:tcW w:type="dxa" w:w="1701"/>
          </w:tcPr>
          <w:p>
            <w:pPr>
              <w:spacing w:after="20"/>
            </w:pPr>
            <w:r/>
            <w:r>
              <w:rPr>
                <w:b w:val="0"/>
                <w:sz w:val="18"/>
              </w:rPr>
              <w:t>1.1.2b</w:t>
            </w:r>
          </w:p>
        </w:tc>
        <w:tc>
          <w:tcPr>
            <w:tcW w:type="dxa" w:w="1701"/>
          </w:tcPr>
          <w:p>
            <w:pPr>
              <w:spacing w:after="20"/>
            </w:pPr>
            <w:r/>
            <w:r>
              <w:rPr>
                <w:b w:val="0"/>
                <w:sz w:val="18"/>
              </w:rPr>
              <w:t>1.1.1c / 1.1.1b</w:t>
            </w:r>
          </w:p>
        </w:tc>
        <w:tc>
          <w:tcPr>
            <w:tcW w:type="dxa" w:w="1701"/>
          </w:tcPr>
          <w:p>
            <w:pPr>
              <w:spacing w:after="20"/>
            </w:pPr>
            <w:r/>
            <w:r>
              <w:rPr>
                <w:b w:val="0"/>
                <w:sz w:val="18"/>
              </w:rPr>
            </w:r>
          </w:p>
        </w:tc>
      </w:tr>
      <w:tr>
        <w:tc>
          <w:tcPr>
            <w:tcW w:type="dxa" w:w="1701"/>
          </w:tcPr>
          <w:p>
            <w:pPr>
              <w:spacing w:after="20"/>
            </w:pPr>
            <w:r/>
            <w:r>
              <w:rPr>
                <w:b w:val="0"/>
                <w:sz w:val="18"/>
              </w:rPr>
              <w:t>YIJC 2024</w:t>
            </w:r>
          </w:p>
        </w:tc>
        <w:tc>
          <w:tcPr>
            <w:tcW w:type="dxa" w:w="1701"/>
          </w:tcPr>
          <w:p>
            <w:pPr>
              <w:spacing w:after="20"/>
            </w:pPr>
            <w:r/>
            <w:r>
              <w:rPr>
                <w:b w:val="0"/>
                <w:sz w:val="18"/>
              </w:rPr>
              <w:t>H2 P1 Q5</w:t>
            </w:r>
          </w:p>
        </w:tc>
        <w:tc>
          <w:tcPr>
            <w:tcW w:type="dxa" w:w="1701"/>
          </w:tcPr>
          <w:p>
            <w:pPr>
              <w:spacing w:after="20"/>
            </w:pPr>
            <w:r/>
            <w:r>
              <w:rPr>
                <w:b w:val="0"/>
                <w:sz w:val="18"/>
              </w:rPr>
              <w:t>Monsoons characterise tropical climate</w:t>
            </w:r>
          </w:p>
        </w:tc>
        <w:tc>
          <w:tcPr>
            <w:tcW w:type="dxa" w:w="1701"/>
          </w:tcPr>
          <w:p>
            <w:pPr>
              <w:spacing w:after="20"/>
            </w:pPr>
            <w:r/>
            <w:r>
              <w:rPr>
                <w:b w:val="0"/>
                <w:sz w:val="18"/>
              </w:rPr>
              <w:t>2.1.1c</w:t>
            </w:r>
          </w:p>
        </w:tc>
        <w:tc>
          <w:tcPr>
            <w:tcW w:type="dxa" w:w="1701"/>
          </w:tcPr>
          <w:p>
            <w:pPr>
              <w:spacing w:after="20"/>
            </w:pPr>
            <w:r/>
            <w:r>
              <w:rPr>
                <w:b w:val="0"/>
                <w:sz w:val="18"/>
              </w:rPr>
              <w:t>add 2.1.1a</w:t>
            </w:r>
          </w:p>
        </w:tc>
        <w:tc>
          <w:tcPr>
            <w:tcW w:type="dxa" w:w="1701"/>
          </w:tcPr>
          <w:p>
            <w:pPr>
              <w:spacing w:after="20"/>
            </w:pPr>
            <w:r/>
            <w:r>
              <w:rPr>
                <w:b w:val="0"/>
                <w:sz w:val="18"/>
              </w:rPr>
            </w:r>
          </w:p>
        </w:tc>
      </w:tr>
      <w:tr>
        <w:tc>
          <w:tcPr>
            <w:tcW w:type="dxa" w:w="1701"/>
          </w:tcPr>
          <w:p>
            <w:pPr>
              <w:spacing w:after="20"/>
            </w:pPr>
            <w:r/>
            <w:r>
              <w:rPr>
                <w:b w:val="0"/>
                <w:sz w:val="18"/>
              </w:rPr>
              <w:t>ASRJC 2025</w:t>
            </w:r>
          </w:p>
        </w:tc>
        <w:tc>
          <w:tcPr>
            <w:tcW w:type="dxa" w:w="1701"/>
          </w:tcPr>
          <w:p>
            <w:pPr>
              <w:spacing w:after="20"/>
            </w:pPr>
            <w:r/>
            <w:r>
              <w:rPr>
                <w:b w:val="0"/>
                <w:sz w:val="18"/>
              </w:rPr>
              <w:t>H2 P1 Q1(c)</w:t>
            </w:r>
          </w:p>
        </w:tc>
        <w:tc>
          <w:tcPr>
            <w:tcW w:type="dxa" w:w="1701"/>
          </w:tcPr>
          <w:p>
            <w:pPr>
              <w:spacing w:after="20"/>
            </w:pPr>
            <w:r/>
            <w:r>
              <w:rPr>
                <w:b w:val="0"/>
                <w:sz w:val="18"/>
              </w:rPr>
              <w:t>Tiffany links places</w:t>
            </w:r>
          </w:p>
        </w:tc>
        <w:tc>
          <w:tcPr>
            <w:tcW w:type="dxa" w:w="1701"/>
          </w:tcPr>
          <w:p>
            <w:pPr>
              <w:spacing w:after="20"/>
            </w:pPr>
            <w:r/>
            <w:r>
              <w:rPr>
                <w:b w:val="0"/>
                <w:sz w:val="18"/>
              </w:rPr>
              <w:t>1.2.2a</w:t>
            </w:r>
          </w:p>
        </w:tc>
        <w:tc>
          <w:tcPr>
            <w:tcW w:type="dxa" w:w="1701"/>
          </w:tcPr>
          <w:p>
            <w:pPr>
              <w:spacing w:after="20"/>
            </w:pPr>
            <w:r/>
            <w:r>
              <w:rPr>
                <w:b w:val="0"/>
                <w:sz w:val="18"/>
              </w:rPr>
              <w:t>1.2.2b</w:t>
            </w:r>
          </w:p>
        </w:tc>
        <w:tc>
          <w:tcPr>
            <w:tcW w:type="dxa" w:w="1701"/>
          </w:tcPr>
          <w:p>
            <w:pPr>
              <w:spacing w:after="20"/>
            </w:pPr>
            <w:r/>
            <w:r>
              <w:rPr>
                <w:b w:val="0"/>
                <w:sz w:val="18"/>
              </w:rPr>
            </w:r>
          </w:p>
        </w:tc>
      </w:tr>
      <w:tr>
        <w:tc>
          <w:tcPr>
            <w:tcW w:type="dxa" w:w="1701"/>
          </w:tcPr>
          <w:p>
            <w:pPr>
              <w:spacing w:after="20"/>
            </w:pPr>
            <w:r/>
            <w:r>
              <w:rPr>
                <w:b w:val="0"/>
                <w:sz w:val="18"/>
              </w:rPr>
              <w:t>CJC 2024</w:t>
            </w:r>
          </w:p>
        </w:tc>
        <w:tc>
          <w:tcPr>
            <w:tcW w:type="dxa" w:w="1701"/>
          </w:tcPr>
          <w:p>
            <w:pPr>
              <w:spacing w:after="20"/>
            </w:pPr>
            <w:r/>
            <w:r>
              <w:rPr>
                <w:b w:val="0"/>
                <w:sz w:val="18"/>
              </w:rPr>
              <w:t>H2 P2 Q4</w:t>
            </w:r>
          </w:p>
        </w:tc>
        <w:tc>
          <w:tcPr>
            <w:tcW w:type="dxa" w:w="1701"/>
          </w:tcPr>
          <w:p>
            <w:pPr>
              <w:spacing w:after="20"/>
            </w:pPr>
            <w:r/>
            <w:r>
              <w:rPr>
                <w:b w:val="0"/>
                <w:sz w:val="18"/>
              </w:rPr>
              <w:t>CC as the greatest challenge to SUD</w:t>
            </w:r>
          </w:p>
        </w:tc>
        <w:tc>
          <w:tcPr>
            <w:tcW w:type="dxa" w:w="1701"/>
          </w:tcPr>
          <w:p>
            <w:pPr>
              <w:spacing w:after="20"/>
            </w:pPr>
            <w:r/>
            <w:r>
              <w:rPr>
                <w:b w:val="0"/>
                <w:sz w:val="18"/>
              </w:rPr>
              <w:t>3.2.2a; 3.1.1b</w:t>
            </w:r>
          </w:p>
        </w:tc>
        <w:tc>
          <w:tcPr>
            <w:tcW w:type="dxa" w:w="1701"/>
          </w:tcPr>
          <w:p>
            <w:pPr>
              <w:spacing w:after="20"/>
            </w:pPr>
            <w:r/>
            <w:r>
              <w:rPr>
                <w:b w:val="0"/>
                <w:sz w:val="18"/>
              </w:rPr>
              <w:t>3.2.2a only</w:t>
            </w:r>
          </w:p>
        </w:tc>
        <w:tc>
          <w:tcPr>
            <w:tcW w:type="dxa" w:w="1701"/>
          </w:tcPr>
          <w:p>
            <w:pPr>
              <w:spacing w:after="20"/>
            </w:pPr>
            <w:r/>
            <w:r>
              <w:rPr>
                <w:b w:val="0"/>
                <w:sz w:val="18"/>
              </w:rPr>
            </w:r>
          </w:p>
        </w:tc>
      </w:tr>
      <w:tr>
        <w:tc>
          <w:tcPr>
            <w:tcW w:type="dxa" w:w="1701"/>
          </w:tcPr>
          <w:p>
            <w:pPr>
              <w:spacing w:after="20"/>
            </w:pPr>
            <w:r/>
            <w:r>
              <w:rPr>
                <w:b w:val="0"/>
                <w:sz w:val="18"/>
              </w:rPr>
              <w:t>DHS 2024</w:t>
            </w:r>
          </w:p>
        </w:tc>
        <w:tc>
          <w:tcPr>
            <w:tcW w:type="dxa" w:w="1701"/>
          </w:tcPr>
          <w:p>
            <w:pPr>
              <w:spacing w:after="20"/>
            </w:pPr>
            <w:r/>
            <w:r>
              <w:rPr>
                <w:b w:val="0"/>
                <w:sz w:val="18"/>
              </w:rPr>
              <w:t>H1 Q3(a)</w:t>
            </w:r>
          </w:p>
        </w:tc>
        <w:tc>
          <w:tcPr>
            <w:tcW w:type="dxa" w:w="1701"/>
          </w:tcPr>
          <w:p>
            <w:pPr>
              <w:spacing w:after="20"/>
            </w:pPr>
            <w:r/>
            <w:r>
              <w:rPr>
                <w:b w:val="0"/>
                <w:sz w:val="18"/>
              </w:rPr>
              <w:t>Larsen B ice front retreat</w:t>
            </w:r>
          </w:p>
        </w:tc>
        <w:tc>
          <w:tcPr>
            <w:tcW w:type="dxa" w:w="1701"/>
          </w:tcPr>
          <w:p>
            <w:pPr>
              <w:spacing w:after="20"/>
            </w:pPr>
            <w:r/>
            <w:r>
              <w:rPr>
                <w:b w:val="0"/>
                <w:sz w:val="18"/>
              </w:rPr>
              <w:t>1.2.1b</w:t>
            </w:r>
          </w:p>
        </w:tc>
        <w:tc>
          <w:tcPr>
            <w:tcW w:type="dxa" w:w="1701"/>
          </w:tcPr>
          <w:p>
            <w:pPr>
              <w:spacing w:after="20"/>
            </w:pPr>
            <w:r/>
            <w:r>
              <w:rPr>
                <w:b w:val="0"/>
                <w:sz w:val="18"/>
              </w:rPr>
              <w:t>1.2.2a</w:t>
            </w:r>
          </w:p>
        </w:tc>
        <w:tc>
          <w:tcPr>
            <w:tcW w:type="dxa" w:w="1701"/>
          </w:tcPr>
          <w:p>
            <w:pPr>
              <w:spacing w:after="20"/>
            </w:pPr>
            <w:r/>
            <w:r>
              <w:rPr>
                <w:b w:val="0"/>
                <w:sz w:val="18"/>
              </w:rPr>
            </w:r>
          </w:p>
        </w:tc>
      </w:tr>
      <w:tr>
        <w:tc>
          <w:tcPr>
            <w:tcW w:type="dxa" w:w="1701"/>
          </w:tcPr>
          <w:p>
            <w:pPr>
              <w:spacing w:after="20"/>
            </w:pPr>
            <w:r/>
            <w:r>
              <w:rPr>
                <w:b w:val="0"/>
                <w:sz w:val="18"/>
              </w:rPr>
              <w:t>DHS 2024</w:t>
            </w:r>
          </w:p>
        </w:tc>
        <w:tc>
          <w:tcPr>
            <w:tcW w:type="dxa" w:w="1701"/>
          </w:tcPr>
          <w:p>
            <w:pPr>
              <w:spacing w:after="20"/>
            </w:pPr>
            <w:r/>
            <w:r>
              <w:rPr>
                <w:b w:val="0"/>
                <w:sz w:val="18"/>
              </w:rPr>
              <w:t>H2 P1 Q4</w:t>
            </w:r>
          </w:p>
        </w:tc>
        <w:tc>
          <w:tcPr>
            <w:tcW w:type="dxa" w:w="1701"/>
          </w:tcPr>
          <w:p>
            <w:pPr>
              <w:spacing w:after="20"/>
            </w:pPr>
            <w:r/>
            <w:r>
              <w:rPr>
                <w:b w:val="0"/>
                <w:sz w:val="18"/>
              </w:rPr>
              <w:t>GPNs and interdependence</w:t>
            </w:r>
          </w:p>
        </w:tc>
        <w:tc>
          <w:tcPr>
            <w:tcW w:type="dxa" w:w="1701"/>
          </w:tcPr>
          <w:p>
            <w:pPr>
              <w:spacing w:after="20"/>
            </w:pPr>
            <w:r/>
            <w:r>
              <w:rPr>
                <w:b w:val="0"/>
                <w:sz w:val="18"/>
              </w:rPr>
              <w:t>1.2.2b</w:t>
            </w:r>
          </w:p>
        </w:tc>
        <w:tc>
          <w:tcPr>
            <w:tcW w:type="dxa" w:w="1701"/>
          </w:tcPr>
          <w:p>
            <w:pPr>
              <w:spacing w:after="20"/>
            </w:pPr>
            <w:r/>
            <w:r>
              <w:rPr>
                <w:b w:val="0"/>
                <w:sz w:val="18"/>
              </w:rPr>
              <w:t>1.2.2a</w:t>
            </w:r>
          </w:p>
        </w:tc>
        <w:tc>
          <w:tcPr>
            <w:tcW w:type="dxa" w:w="1701"/>
          </w:tcPr>
          <w:p>
            <w:pPr>
              <w:spacing w:after="20"/>
            </w:pPr>
            <w:r/>
            <w:r>
              <w:rPr>
                <w:b w:val="0"/>
                <w:sz w:val="18"/>
              </w:rPr>
            </w:r>
          </w:p>
        </w:tc>
      </w:tr>
      <w:tr>
        <w:tc>
          <w:tcPr>
            <w:tcW w:type="dxa" w:w="1701"/>
          </w:tcPr>
          <w:p>
            <w:pPr>
              <w:spacing w:after="20"/>
            </w:pPr>
            <w:r/>
            <w:r>
              <w:rPr>
                <w:b w:val="0"/>
                <w:sz w:val="18"/>
              </w:rPr>
              <w:t>HCI 2024</w:t>
            </w:r>
          </w:p>
        </w:tc>
        <w:tc>
          <w:tcPr>
            <w:tcW w:type="dxa" w:w="1701"/>
          </w:tcPr>
          <w:p>
            <w:pPr>
              <w:spacing w:after="20"/>
            </w:pPr>
            <w:r/>
            <w:r>
              <w:rPr>
                <w:b w:val="0"/>
                <w:sz w:val="18"/>
              </w:rPr>
              <w:t>H1 Q2(e)</w:t>
            </w:r>
          </w:p>
        </w:tc>
        <w:tc>
          <w:tcPr>
            <w:tcW w:type="dxa" w:w="1701"/>
          </w:tcPr>
          <w:p>
            <w:pPr>
              <w:spacing w:after="20"/>
            </w:pPr>
            <w:r/>
            <w:r>
              <w:rPr>
                <w:b w:val="0"/>
                <w:sz w:val="18"/>
              </w:rPr>
              <w:t>Waste viewed as a resource</w:t>
            </w:r>
          </w:p>
        </w:tc>
        <w:tc>
          <w:tcPr>
            <w:tcW w:type="dxa" w:w="1701"/>
          </w:tcPr>
          <w:p>
            <w:pPr>
              <w:spacing w:after="20"/>
            </w:pPr>
            <w:r/>
            <w:r>
              <w:rPr>
                <w:b w:val="0"/>
                <w:sz w:val="18"/>
              </w:rPr>
              <w:t>1.1.2a</w:t>
            </w:r>
          </w:p>
        </w:tc>
        <w:tc>
          <w:tcPr>
            <w:tcW w:type="dxa" w:w="1701"/>
          </w:tcPr>
          <w:p>
            <w:pPr>
              <w:spacing w:after="20"/>
            </w:pPr>
            <w:r/>
            <w:r>
              <w:rPr>
                <w:b w:val="0"/>
                <w:sz w:val="18"/>
              </w:rPr>
              <w:t>1.1.1c</w:t>
            </w:r>
          </w:p>
        </w:tc>
        <w:tc>
          <w:tcPr>
            <w:tcW w:type="dxa" w:w="1701"/>
          </w:tcPr>
          <w:p>
            <w:pPr>
              <w:spacing w:after="20"/>
            </w:pPr>
            <w:r/>
            <w:r>
              <w:rPr>
                <w:b w:val="0"/>
                <w:sz w:val="18"/>
              </w:rPr>
            </w:r>
          </w:p>
        </w:tc>
      </w:tr>
      <w:tr>
        <w:tc>
          <w:tcPr>
            <w:tcW w:type="dxa" w:w="1701"/>
          </w:tcPr>
          <w:p>
            <w:pPr>
              <w:spacing w:after="20"/>
            </w:pPr>
            <w:r/>
            <w:r>
              <w:rPr>
                <w:b w:val="0"/>
                <w:sz w:val="18"/>
              </w:rPr>
              <w:t>NJC 2024</w:t>
            </w:r>
          </w:p>
        </w:tc>
        <w:tc>
          <w:tcPr>
            <w:tcW w:type="dxa" w:w="1701"/>
          </w:tcPr>
          <w:p>
            <w:pPr>
              <w:spacing w:after="20"/>
            </w:pPr>
            <w:r/>
            <w:r>
              <w:rPr>
                <w:b w:val="0"/>
                <w:sz w:val="18"/>
              </w:rPr>
              <w:t>H2 P1 Q3</w:t>
            </w:r>
          </w:p>
        </w:tc>
        <w:tc>
          <w:tcPr>
            <w:tcW w:type="dxa" w:w="1701"/>
          </w:tcPr>
          <w:p>
            <w:pPr>
              <w:spacing w:after="20"/>
            </w:pPr>
            <w:r/>
            <w:r>
              <w:rPr>
                <w:b w:val="0"/>
                <w:sz w:val="18"/>
              </w:rPr>
              <w:t>World's progress towards SD insufficient</w:t>
            </w:r>
          </w:p>
        </w:tc>
        <w:tc>
          <w:tcPr>
            <w:tcW w:type="dxa" w:w="1701"/>
          </w:tcPr>
          <w:p>
            <w:pPr>
              <w:spacing w:after="20"/>
            </w:pPr>
            <w:r/>
            <w:r>
              <w:rPr>
                <w:b w:val="0"/>
                <w:sz w:val="18"/>
              </w:rPr>
              <w:t>1.1.1b</w:t>
            </w:r>
          </w:p>
        </w:tc>
        <w:tc>
          <w:tcPr>
            <w:tcW w:type="dxa" w:w="1701"/>
          </w:tcPr>
          <w:p>
            <w:pPr>
              <w:spacing w:after="20"/>
            </w:pPr>
            <w:r/>
            <w:r>
              <w:rPr>
                <w:b w:val="0"/>
                <w:sz w:val="18"/>
              </w:rPr>
              <w:t>1.1.1c</w:t>
            </w:r>
          </w:p>
        </w:tc>
        <w:tc>
          <w:tcPr>
            <w:tcW w:type="dxa" w:w="1701"/>
          </w:tcPr>
          <w:p>
            <w:pPr>
              <w:spacing w:after="20"/>
            </w:pPr>
            <w:r/>
            <w:r>
              <w:rPr>
                <w:b w:val="0"/>
                <w:sz w:val="18"/>
              </w:rPr>
            </w:r>
          </w:p>
        </w:tc>
      </w:tr>
      <w:tr>
        <w:tc>
          <w:tcPr>
            <w:tcW w:type="dxa" w:w="1701"/>
          </w:tcPr>
          <w:p>
            <w:pPr>
              <w:spacing w:after="20"/>
            </w:pPr>
            <w:r/>
            <w:r>
              <w:rPr>
                <w:b w:val="0"/>
                <w:sz w:val="18"/>
              </w:rPr>
              <w:t>NJC 2024</w:t>
            </w:r>
          </w:p>
        </w:tc>
        <w:tc>
          <w:tcPr>
            <w:tcW w:type="dxa" w:w="1701"/>
          </w:tcPr>
          <w:p>
            <w:pPr>
              <w:spacing w:after="20"/>
            </w:pPr>
            <w:r/>
            <w:r>
              <w:rPr>
                <w:b w:val="0"/>
                <w:sz w:val="18"/>
              </w:rPr>
              <w:t>H2 P2 Q4</w:t>
            </w:r>
          </w:p>
        </w:tc>
        <w:tc>
          <w:tcPr>
            <w:tcW w:type="dxa" w:w="1701"/>
          </w:tcPr>
          <w:p>
            <w:pPr>
              <w:spacing w:after="20"/>
            </w:pPr>
            <w:r/>
            <w:r>
              <w:rPr>
                <w:b w:val="0"/>
                <w:sz w:val="18"/>
              </w:rPr>
              <w:t>'Not possible to stop CC'</w:t>
            </w:r>
          </w:p>
        </w:tc>
        <w:tc>
          <w:tcPr>
            <w:tcW w:type="dxa" w:w="1701"/>
          </w:tcPr>
          <w:p>
            <w:pPr>
              <w:spacing w:after="20"/>
            </w:pPr>
            <w:r/>
            <w:r>
              <w:rPr>
                <w:b w:val="0"/>
                <w:sz w:val="18"/>
              </w:rPr>
              <w:t>3.2.3c</w:t>
            </w:r>
          </w:p>
        </w:tc>
        <w:tc>
          <w:tcPr>
            <w:tcW w:type="dxa" w:w="1701"/>
          </w:tcPr>
          <w:p>
            <w:pPr>
              <w:spacing w:after="20"/>
            </w:pPr>
            <w:r/>
            <w:r>
              <w:rPr>
                <w:b w:val="0"/>
                <w:sz w:val="18"/>
              </w:rPr>
              <w:t>3.2.3a</w:t>
            </w:r>
          </w:p>
        </w:tc>
        <w:tc>
          <w:tcPr>
            <w:tcW w:type="dxa" w:w="1701"/>
          </w:tcPr>
          <w:p>
            <w:pPr>
              <w:spacing w:after="20"/>
            </w:pPr>
            <w:r/>
            <w:r>
              <w:rPr>
                <w:b w:val="0"/>
                <w:sz w:val="18"/>
              </w:rPr>
            </w:r>
          </w:p>
        </w:tc>
      </w:tr>
      <w:tr>
        <w:tc>
          <w:tcPr>
            <w:tcW w:type="dxa" w:w="1701"/>
          </w:tcPr>
          <w:p>
            <w:pPr>
              <w:spacing w:after="20"/>
            </w:pPr>
            <w:r/>
            <w:r>
              <w:rPr>
                <w:b w:val="0"/>
                <w:sz w:val="18"/>
              </w:rPr>
              <w:t>CJC 2025</w:t>
            </w:r>
          </w:p>
        </w:tc>
        <w:tc>
          <w:tcPr>
            <w:tcW w:type="dxa" w:w="1701"/>
          </w:tcPr>
          <w:p>
            <w:pPr>
              <w:spacing w:after="20"/>
            </w:pPr>
            <w:r/>
            <w:r>
              <w:rPr>
                <w:b w:val="0"/>
                <w:sz w:val="18"/>
              </w:rPr>
              <w:t>H2 P1 Q2(a)</w:t>
            </w:r>
          </w:p>
        </w:tc>
        <w:tc>
          <w:tcPr>
            <w:tcW w:type="dxa" w:w="1701"/>
          </w:tcPr>
          <w:p>
            <w:pPr>
              <w:spacing w:after="20"/>
            </w:pPr>
            <w:r/>
            <w:r>
              <w:rPr>
                <w:b w:val="0"/>
                <w:sz w:val="18"/>
              </w:rPr>
              <w:t>Nile discharge before/after GERD</w:t>
            </w:r>
          </w:p>
        </w:tc>
        <w:tc>
          <w:tcPr>
            <w:tcW w:type="dxa" w:w="1701"/>
          </w:tcPr>
          <w:p>
            <w:pPr>
              <w:spacing w:after="20"/>
            </w:pPr>
            <w:r/>
            <w:r>
              <w:rPr>
                <w:b w:val="0"/>
                <w:sz w:val="18"/>
              </w:rPr>
              <w:t>1.1.3b</w:t>
            </w:r>
          </w:p>
        </w:tc>
        <w:tc>
          <w:tcPr>
            <w:tcW w:type="dxa" w:w="1701"/>
          </w:tcPr>
          <w:p>
            <w:pPr>
              <w:spacing w:after="20"/>
            </w:pPr>
            <w:r/>
            <w:r>
              <w:rPr>
                <w:b w:val="0"/>
                <w:sz w:val="18"/>
              </w:rPr>
              <w:t>2.1.3c</w:t>
            </w:r>
          </w:p>
        </w:tc>
        <w:tc>
          <w:tcPr>
            <w:tcW w:type="dxa" w:w="1701"/>
          </w:tcPr>
          <w:p>
            <w:pPr>
              <w:spacing w:after="20"/>
            </w:pPr>
            <w:r/>
            <w:r>
              <w:rPr>
                <w:b w:val="0"/>
                <w:sz w:val="18"/>
              </w:rPr>
            </w:r>
          </w:p>
        </w:tc>
      </w:tr>
      <w:tr>
        <w:tc>
          <w:tcPr>
            <w:tcW w:type="dxa" w:w="1701"/>
          </w:tcPr>
          <w:p>
            <w:pPr>
              <w:spacing w:after="20"/>
            </w:pPr>
            <w:r/>
            <w:r>
              <w:rPr>
                <w:b w:val="0"/>
                <w:sz w:val="18"/>
              </w:rPr>
              <w:t>CJC 2025</w:t>
            </w:r>
          </w:p>
        </w:tc>
        <w:tc>
          <w:tcPr>
            <w:tcW w:type="dxa" w:w="1701"/>
          </w:tcPr>
          <w:p>
            <w:pPr>
              <w:spacing w:after="20"/>
            </w:pPr>
            <w:r/>
            <w:r>
              <w:rPr>
                <w:b w:val="0"/>
                <w:sz w:val="18"/>
              </w:rPr>
              <w:t>H2 P2 Q3</w:t>
            </w:r>
          </w:p>
        </w:tc>
        <w:tc>
          <w:tcPr>
            <w:tcW w:type="dxa" w:w="1701"/>
          </w:tcPr>
          <w:p>
            <w:pPr>
              <w:spacing w:after="20"/>
            </w:pPr>
            <w:r/>
            <w:r>
              <w:rPr>
                <w:b w:val="0"/>
                <w:sz w:val="18"/>
              </w:rPr>
              <w:t>Harder to adapt than to manage slums</w:t>
            </w:r>
          </w:p>
        </w:tc>
        <w:tc>
          <w:tcPr>
            <w:tcW w:type="dxa" w:w="1701"/>
          </w:tcPr>
          <w:p>
            <w:pPr>
              <w:spacing w:after="20"/>
            </w:pPr>
            <w:r/>
            <w:r>
              <w:rPr>
                <w:b w:val="0"/>
                <w:sz w:val="18"/>
              </w:rPr>
              <w:t>3.2.3c; 3.1.2b</w:t>
            </w:r>
          </w:p>
        </w:tc>
        <w:tc>
          <w:tcPr>
            <w:tcW w:type="dxa" w:w="1701"/>
          </w:tcPr>
          <w:p>
            <w:pPr>
              <w:spacing w:after="20"/>
            </w:pPr>
            <w:r/>
            <w:r>
              <w:rPr>
                <w:b w:val="0"/>
                <w:sz w:val="18"/>
              </w:rPr>
              <w:t>3.2.3a instead of 3.2.3c</w:t>
            </w:r>
          </w:p>
        </w:tc>
        <w:tc>
          <w:tcPr>
            <w:tcW w:type="dxa" w:w="1701"/>
          </w:tcPr>
          <w:p>
            <w:pPr>
              <w:spacing w:after="20"/>
            </w:pPr>
            <w:r/>
            <w:r>
              <w:rPr>
                <w:b w:val="0"/>
                <w:sz w:val="18"/>
              </w:rPr>
            </w:r>
          </w:p>
        </w:tc>
      </w:tr>
      <w:tr>
        <w:tc>
          <w:tcPr>
            <w:tcW w:type="dxa" w:w="1701"/>
          </w:tcPr>
          <w:p>
            <w:pPr>
              <w:spacing w:after="20"/>
            </w:pPr>
            <w:r/>
            <w:r>
              <w:rPr>
                <w:b w:val="0"/>
                <w:sz w:val="18"/>
              </w:rPr>
              <w:t>SAJC 2025</w:t>
            </w:r>
          </w:p>
        </w:tc>
        <w:tc>
          <w:tcPr>
            <w:tcW w:type="dxa" w:w="1701"/>
          </w:tcPr>
          <w:p>
            <w:pPr>
              <w:spacing w:after="20"/>
            </w:pPr>
            <w:r/>
            <w:r>
              <w:rPr>
                <w:b w:val="0"/>
                <w:sz w:val="18"/>
              </w:rPr>
              <w:t>H2 P2 Q4</w:t>
            </w:r>
          </w:p>
        </w:tc>
        <w:tc>
          <w:tcPr>
            <w:tcW w:type="dxa" w:w="1701"/>
          </w:tcPr>
          <w:p>
            <w:pPr>
              <w:spacing w:after="20"/>
            </w:pPr>
            <w:r/>
            <w:r>
              <w:rPr>
                <w:b w:val="0"/>
                <w:sz w:val="18"/>
              </w:rPr>
              <w:t>Humans the main cause of CC</w:t>
            </w:r>
          </w:p>
        </w:tc>
        <w:tc>
          <w:tcPr>
            <w:tcW w:type="dxa" w:w="1701"/>
          </w:tcPr>
          <w:p>
            <w:pPr>
              <w:spacing w:after="20"/>
            </w:pPr>
            <w:r/>
            <w:r>
              <w:rPr>
                <w:b w:val="0"/>
                <w:sz w:val="18"/>
              </w:rPr>
              <w:t>3.2.1c</w:t>
            </w:r>
          </w:p>
        </w:tc>
        <w:tc>
          <w:tcPr>
            <w:tcW w:type="dxa" w:w="1701"/>
          </w:tcPr>
          <w:p>
            <w:pPr>
              <w:spacing w:after="20"/>
            </w:pPr>
            <w:r/>
            <w:r>
              <w:rPr>
                <w:b w:val="0"/>
                <w:sz w:val="18"/>
              </w:rPr>
              <w:t>3.2.1b; 3.2.1c</w:t>
            </w:r>
          </w:p>
        </w:tc>
        <w:tc>
          <w:tcPr>
            <w:tcW w:type="dxa" w:w="1701"/>
          </w:tcPr>
          <w:p>
            <w:pPr>
              <w:spacing w:after="20"/>
            </w:pPr>
            <w:r/>
            <w:r>
              <w:rPr>
                <w:b w:val="0"/>
                <w:sz w:val="18"/>
              </w:rPr>
            </w:r>
          </w:p>
        </w:tc>
      </w:tr>
      <w:tr>
        <w:tc>
          <w:tcPr>
            <w:tcW w:type="dxa" w:w="1701"/>
          </w:tcPr>
          <w:p>
            <w:pPr>
              <w:spacing w:after="20"/>
            </w:pPr>
            <w:r/>
            <w:r>
              <w:rPr>
                <w:b w:val="0"/>
                <w:sz w:val="18"/>
              </w:rPr>
              <w:t>TJC 2025</w:t>
            </w:r>
          </w:p>
        </w:tc>
        <w:tc>
          <w:tcPr>
            <w:tcW w:type="dxa" w:w="1701"/>
          </w:tcPr>
          <w:p>
            <w:pPr>
              <w:spacing w:after="20"/>
            </w:pPr>
            <w:r/>
            <w:r>
              <w:rPr>
                <w:b w:val="0"/>
                <w:sz w:val="18"/>
              </w:rPr>
              <w:t>H2 P2 Q4</w:t>
            </w:r>
          </w:p>
        </w:tc>
        <w:tc>
          <w:tcPr>
            <w:tcW w:type="dxa" w:w="1701"/>
          </w:tcPr>
          <w:p>
            <w:pPr>
              <w:spacing w:after="20"/>
            </w:pPr>
            <w:r/>
            <w:r>
              <w:rPr>
                <w:b w:val="0"/>
                <w:sz w:val="18"/>
              </w:rPr>
              <w:t>Relative effectiveness of actors</w:t>
            </w:r>
          </w:p>
        </w:tc>
        <w:tc>
          <w:tcPr>
            <w:tcW w:type="dxa" w:w="1701"/>
          </w:tcPr>
          <w:p>
            <w:pPr>
              <w:spacing w:after="20"/>
            </w:pPr>
            <w:r/>
            <w:r>
              <w:rPr>
                <w:b w:val="0"/>
                <w:sz w:val="18"/>
              </w:rPr>
              <w:t>3.2.3b</w:t>
            </w:r>
          </w:p>
        </w:tc>
        <w:tc>
          <w:tcPr>
            <w:tcW w:type="dxa" w:w="1701"/>
          </w:tcPr>
          <w:p>
            <w:pPr>
              <w:spacing w:after="20"/>
            </w:pPr>
            <w:r/>
            <w:r>
              <w:rPr>
                <w:b w:val="0"/>
                <w:sz w:val="18"/>
              </w:rPr>
              <w:t>add 3.2.3c</w:t>
            </w:r>
          </w:p>
        </w:tc>
        <w:tc>
          <w:tcPr>
            <w:tcW w:type="dxa" w:w="1701"/>
          </w:tcPr>
          <w:p>
            <w:pPr>
              <w:spacing w:after="20"/>
            </w:pPr>
            <w:r/>
            <w:r>
              <w:rPr>
                <w:b w:val="0"/>
                <w:sz w:val="18"/>
              </w:rPr>
            </w:r>
          </w:p>
        </w:tc>
      </w:tr>
      <w:tr>
        <w:tc>
          <w:tcPr>
            <w:tcW w:type="dxa" w:w="1701"/>
          </w:tcPr>
          <w:p>
            <w:pPr>
              <w:spacing w:after="20"/>
            </w:pPr>
            <w:r/>
            <w:r>
              <w:rPr>
                <w:b w:val="0"/>
                <w:sz w:val="18"/>
              </w:rPr>
              <w:t>NYJC 2025</w:t>
            </w:r>
          </w:p>
        </w:tc>
        <w:tc>
          <w:tcPr>
            <w:tcW w:type="dxa" w:w="1701"/>
          </w:tcPr>
          <w:p>
            <w:pPr>
              <w:spacing w:after="20"/>
            </w:pPr>
            <w:r/>
            <w:r>
              <w:rPr>
                <w:b w:val="0"/>
                <w:sz w:val="18"/>
              </w:rPr>
              <w:t>H2 P1 Q2(f)</w:t>
            </w:r>
          </w:p>
        </w:tc>
        <w:tc>
          <w:tcPr>
            <w:tcW w:type="dxa" w:w="1701"/>
          </w:tcPr>
          <w:p>
            <w:pPr>
              <w:spacing w:after="20"/>
            </w:pPr>
            <w:r/>
            <w:r>
              <w:rPr>
                <w:b w:val="0"/>
                <w:sz w:val="18"/>
              </w:rPr>
              <w:t>Humans modifying meanders</w:t>
            </w:r>
          </w:p>
        </w:tc>
        <w:tc>
          <w:tcPr>
            <w:tcW w:type="dxa" w:w="1701"/>
          </w:tcPr>
          <w:p>
            <w:pPr>
              <w:spacing w:after="20"/>
            </w:pPr>
            <w:r/>
            <w:r>
              <w:rPr>
                <w:b w:val="0"/>
                <w:sz w:val="18"/>
              </w:rPr>
              <w:t>2.2.3b</w:t>
            </w:r>
          </w:p>
        </w:tc>
        <w:tc>
          <w:tcPr>
            <w:tcW w:type="dxa" w:w="1701"/>
          </w:tcPr>
          <w:p>
            <w:pPr>
              <w:spacing w:after="20"/>
            </w:pPr>
            <w:r/>
            <w:r>
              <w:rPr>
                <w:b w:val="0"/>
                <w:sz w:val="18"/>
              </w:rPr>
              <w:t>2.2.3c</w:t>
            </w:r>
          </w:p>
        </w:tc>
        <w:tc>
          <w:tcPr>
            <w:tcW w:type="dxa" w:w="1701"/>
          </w:tcPr>
          <w:p>
            <w:pPr>
              <w:spacing w:after="20"/>
            </w:pPr>
            <w:r/>
            <w:r>
              <w:rPr>
                <w:b w:val="0"/>
                <w:sz w:val="18"/>
              </w:rPr>
            </w:r>
          </w:p>
        </w:tc>
      </w:tr>
      <w:tr>
        <w:tc>
          <w:tcPr>
            <w:tcW w:type="dxa" w:w="1701"/>
          </w:tcPr>
          <w:p>
            <w:pPr>
              <w:spacing w:after="20"/>
            </w:pPr>
            <w:r/>
            <w:r>
              <w:rPr>
                <w:b w:val="0"/>
                <w:sz w:val="18"/>
              </w:rPr>
              <w:t>DHS 2026</w:t>
            </w:r>
          </w:p>
        </w:tc>
        <w:tc>
          <w:tcPr>
            <w:tcW w:type="dxa" w:w="1701"/>
          </w:tcPr>
          <w:p>
            <w:pPr>
              <w:spacing w:after="20"/>
            </w:pPr>
            <w:r/>
            <w:r>
              <w:rPr>
                <w:b w:val="0"/>
                <w:sz w:val="18"/>
              </w:rPr>
              <w:t>H2 P2 Q3</w:t>
            </w:r>
          </w:p>
        </w:tc>
        <w:tc>
          <w:tcPr>
            <w:tcW w:type="dxa" w:w="1701"/>
          </w:tcPr>
          <w:p>
            <w:pPr>
              <w:spacing w:after="20"/>
            </w:pPr>
            <w:r/>
            <w:r>
              <w:rPr>
                <w:b w:val="0"/>
                <w:sz w:val="18"/>
              </w:rPr>
              <w:t>Benefits of strategies uneven (sustainable cities)</w:t>
            </w:r>
          </w:p>
        </w:tc>
        <w:tc>
          <w:tcPr>
            <w:tcW w:type="dxa" w:w="1701"/>
          </w:tcPr>
          <w:p>
            <w:pPr>
              <w:spacing w:after="20"/>
            </w:pPr>
            <w:r/>
            <w:r>
              <w:rPr>
                <w:b w:val="0"/>
                <w:sz w:val="18"/>
              </w:rPr>
              <w:t>3.1.2c; 3.1.2b</w:t>
            </w:r>
          </w:p>
        </w:tc>
        <w:tc>
          <w:tcPr>
            <w:tcW w:type="dxa" w:w="1701"/>
          </w:tcPr>
          <w:p>
            <w:pPr>
              <w:spacing w:after="20"/>
            </w:pPr>
            <w:r/>
            <w:r>
              <w:rPr>
                <w:b w:val="0"/>
                <w:sz w:val="18"/>
              </w:rPr>
              <w:t>all of 3.1.2a/b/c</w:t>
            </w:r>
          </w:p>
        </w:tc>
        <w:tc>
          <w:tcPr>
            <w:tcW w:type="dxa" w:w="1701"/>
          </w:tcPr>
          <w:p>
            <w:pPr>
              <w:spacing w:after="20"/>
            </w:pPr>
            <w:r/>
            <w:r>
              <w:rPr>
                <w:b w:val="0"/>
                <w:sz w:val="18"/>
              </w:rPr>
            </w:r>
          </w:p>
        </w:tc>
      </w:tr>
      <w:tr>
        <w:tc>
          <w:tcPr>
            <w:tcW w:type="dxa" w:w="1701"/>
          </w:tcPr>
          <w:p>
            <w:pPr>
              <w:spacing w:after="20"/>
            </w:pPr>
            <w:r/>
            <w:r>
              <w:rPr>
                <w:b w:val="0"/>
                <w:sz w:val="18"/>
              </w:rPr>
              <w:t>HCI 2026</w:t>
            </w:r>
          </w:p>
        </w:tc>
        <w:tc>
          <w:tcPr>
            <w:tcW w:type="dxa" w:w="1701"/>
          </w:tcPr>
          <w:p>
            <w:pPr>
              <w:spacing w:after="20"/>
            </w:pPr>
            <w:r/>
            <w:r>
              <w:rPr>
                <w:b w:val="0"/>
                <w:sz w:val="18"/>
              </w:rPr>
              <w:t>H1 Q3(d)</w:t>
            </w:r>
          </w:p>
        </w:tc>
        <w:tc>
          <w:tcPr>
            <w:tcW w:type="dxa" w:w="1701"/>
          </w:tcPr>
          <w:p>
            <w:pPr>
              <w:spacing w:after="20"/>
            </w:pPr>
            <w:r/>
            <w:r>
              <w:rPr>
                <w:b w:val="0"/>
                <w:sz w:val="18"/>
              </w:rPr>
              <w:t>Positive feedback: tree loss and ice sheets</w:t>
            </w:r>
          </w:p>
        </w:tc>
        <w:tc>
          <w:tcPr>
            <w:tcW w:type="dxa" w:w="1701"/>
          </w:tcPr>
          <w:p>
            <w:pPr>
              <w:spacing w:after="20"/>
            </w:pPr>
            <w:r/>
            <w:r>
              <w:rPr>
                <w:b w:val="0"/>
                <w:sz w:val="18"/>
              </w:rPr>
              <w:t>1.2.1c</w:t>
            </w:r>
          </w:p>
        </w:tc>
        <w:tc>
          <w:tcPr>
            <w:tcW w:type="dxa" w:w="1701"/>
          </w:tcPr>
          <w:p>
            <w:pPr>
              <w:spacing w:after="20"/>
            </w:pPr>
            <w:r/>
            <w:r>
              <w:rPr>
                <w:b w:val="0"/>
                <w:sz w:val="18"/>
              </w:rPr>
              <w:t>1.2.1b</w:t>
            </w:r>
          </w:p>
        </w:tc>
        <w:tc>
          <w:tcPr>
            <w:tcW w:type="dxa" w:w="1701"/>
          </w:tcPr>
          <w:p>
            <w:pPr>
              <w:spacing w:after="20"/>
            </w:pPr>
            <w:r/>
            <w:r>
              <w:rPr>
                <w:b w:val="0"/>
                <w:sz w:val="18"/>
              </w:rPr>
            </w:r>
          </w:p>
        </w:tc>
      </w:tr>
      <w:tr>
        <w:tc>
          <w:tcPr>
            <w:tcW w:type="dxa" w:w="1701"/>
          </w:tcPr>
          <w:p>
            <w:pPr>
              <w:spacing w:after="20"/>
            </w:pPr>
            <w:r/>
            <w:r>
              <w:rPr>
                <w:b w:val="0"/>
                <w:sz w:val="18"/>
              </w:rPr>
              <w:t>MI 2026</w:t>
            </w:r>
          </w:p>
        </w:tc>
        <w:tc>
          <w:tcPr>
            <w:tcW w:type="dxa" w:w="1701"/>
          </w:tcPr>
          <w:p>
            <w:pPr>
              <w:spacing w:after="20"/>
            </w:pPr>
            <w:r/>
            <w:r>
              <w:rPr>
                <w:b w:val="0"/>
                <w:sz w:val="18"/>
              </w:rPr>
              <w:t>H2 P1 Q6</w:t>
            </w:r>
          </w:p>
        </w:tc>
        <w:tc>
          <w:tcPr>
            <w:tcW w:type="dxa" w:w="1701"/>
          </w:tcPr>
          <w:p>
            <w:pPr>
              <w:spacing w:after="20"/>
            </w:pPr>
            <w:r/>
            <w:r>
              <w:rPr>
                <w:b w:val="0"/>
                <w:sz w:val="18"/>
              </w:rPr>
              <w:t>Human activities in karst formation</w:t>
            </w:r>
          </w:p>
        </w:tc>
        <w:tc>
          <w:tcPr>
            <w:tcW w:type="dxa" w:w="1701"/>
          </w:tcPr>
          <w:p>
            <w:pPr>
              <w:spacing w:after="20"/>
            </w:pPr>
            <w:r/>
            <w:r>
              <w:rPr>
                <w:b w:val="0"/>
                <w:sz w:val="18"/>
              </w:rPr>
              <w:t>2.2.2b; 2.2.2c</w:t>
            </w:r>
          </w:p>
        </w:tc>
        <w:tc>
          <w:tcPr>
            <w:tcW w:type="dxa" w:w="1701"/>
          </w:tcPr>
          <w:p>
            <w:pPr>
              <w:spacing w:after="20"/>
            </w:pPr>
            <w:r/>
            <w:r>
              <w:rPr>
                <w:b w:val="0"/>
                <w:sz w:val="18"/>
              </w:rPr>
              <w:t>2.2.2b only</w:t>
            </w:r>
          </w:p>
        </w:tc>
        <w:tc>
          <w:tcPr>
            <w:tcW w:type="dxa" w:w="1701"/>
          </w:tcPr>
          <w:p>
            <w:pPr>
              <w:spacing w:after="20"/>
            </w:pPr>
            <w:r/>
            <w:r>
              <w:rPr>
                <w:b w:val="0"/>
                <w:sz w:val="18"/>
              </w:rPr>
            </w:r>
          </w:p>
        </w:tc>
      </w:tr>
      <w:tr>
        <w:tc>
          <w:tcPr>
            <w:tcW w:type="dxa" w:w="1701"/>
          </w:tcPr>
          <w:p>
            <w:pPr>
              <w:spacing w:after="20"/>
            </w:pPr>
            <w:r/>
            <w:r>
              <w:rPr>
                <w:b w:val="0"/>
                <w:sz w:val="18"/>
              </w:rPr>
              <w:t>NJC 2026</w:t>
            </w:r>
          </w:p>
        </w:tc>
        <w:tc>
          <w:tcPr>
            <w:tcW w:type="dxa" w:w="1701"/>
          </w:tcPr>
          <w:p>
            <w:pPr>
              <w:spacing w:after="20"/>
            </w:pPr>
            <w:r/>
            <w:r>
              <w:rPr>
                <w:b w:val="0"/>
                <w:sz w:val="18"/>
              </w:rPr>
              <w:t>H2 P1 Q1(c)</w:t>
            </w:r>
          </w:p>
        </w:tc>
        <w:tc>
          <w:tcPr>
            <w:tcW w:type="dxa" w:w="1701"/>
          </w:tcPr>
          <w:p>
            <w:pPr>
              <w:spacing w:after="20"/>
            </w:pPr>
            <w:r/>
            <w:r>
              <w:rPr>
                <w:b w:val="0"/>
                <w:sz w:val="18"/>
              </w:rPr>
              <w:t>Ilmenite production and reserves</w:t>
            </w:r>
          </w:p>
        </w:tc>
        <w:tc>
          <w:tcPr>
            <w:tcW w:type="dxa" w:w="1701"/>
          </w:tcPr>
          <w:p>
            <w:pPr>
              <w:spacing w:after="20"/>
            </w:pPr>
            <w:r/>
            <w:r>
              <w:rPr>
                <w:b w:val="0"/>
                <w:sz w:val="18"/>
              </w:rPr>
              <w:t>1.1.2b</w:t>
            </w:r>
          </w:p>
        </w:tc>
        <w:tc>
          <w:tcPr>
            <w:tcW w:type="dxa" w:w="1701"/>
          </w:tcPr>
          <w:p>
            <w:pPr>
              <w:spacing w:after="20"/>
            </w:pPr>
            <w:r/>
            <w:r>
              <w:rPr>
                <w:b w:val="0"/>
                <w:sz w:val="18"/>
              </w:rPr>
              <w:t>1.1.3c</w:t>
            </w:r>
          </w:p>
        </w:tc>
        <w:tc>
          <w:tcPr>
            <w:tcW w:type="dxa" w:w="1701"/>
          </w:tcPr>
          <w:p>
            <w:pPr>
              <w:spacing w:after="20"/>
            </w:pPr>
            <w:r/>
            <w:r>
              <w:rPr>
                <w:b w:val="0"/>
                <w:sz w:val="18"/>
              </w:rPr>
            </w:r>
          </w:p>
        </w:tc>
      </w:tr>
      <w:tr>
        <w:tc>
          <w:tcPr>
            <w:tcW w:type="dxa" w:w="1701"/>
          </w:tcPr>
          <w:p>
            <w:pPr>
              <w:spacing w:after="20"/>
            </w:pPr>
            <w:r/>
            <w:r>
              <w:rPr>
                <w:b w:val="0"/>
                <w:sz w:val="18"/>
              </w:rPr>
              <w:t>RI 2026</w:t>
            </w:r>
          </w:p>
        </w:tc>
        <w:tc>
          <w:tcPr>
            <w:tcW w:type="dxa" w:w="1701"/>
          </w:tcPr>
          <w:p>
            <w:pPr>
              <w:spacing w:after="20"/>
            </w:pPr>
            <w:r/>
            <w:r>
              <w:rPr>
                <w:b w:val="0"/>
                <w:sz w:val="18"/>
              </w:rPr>
              <w:t>H2 P1 Q1(e)</w:t>
            </w:r>
          </w:p>
        </w:tc>
        <w:tc>
          <w:tcPr>
            <w:tcW w:type="dxa" w:w="1701"/>
          </w:tcPr>
          <w:p>
            <w:pPr>
              <w:spacing w:after="20"/>
            </w:pPr>
            <w:r/>
            <w:r>
              <w:rPr>
                <w:b w:val="0"/>
                <w:sz w:val="18"/>
              </w:rPr>
              <w:t>TNC trade-offs for SD in host economies</w:t>
            </w:r>
          </w:p>
        </w:tc>
        <w:tc>
          <w:tcPr>
            <w:tcW w:type="dxa" w:w="1701"/>
          </w:tcPr>
          <w:p>
            <w:pPr>
              <w:spacing w:after="20"/>
            </w:pPr>
            <w:r/>
            <w:r>
              <w:rPr>
                <w:b w:val="0"/>
                <w:sz w:val="18"/>
              </w:rPr>
              <w:t>1.2.2c</w:t>
            </w:r>
          </w:p>
        </w:tc>
        <w:tc>
          <w:tcPr>
            <w:tcW w:type="dxa" w:w="1701"/>
          </w:tcPr>
          <w:p>
            <w:pPr>
              <w:spacing w:after="20"/>
            </w:pPr>
            <w:r/>
            <w:r>
              <w:rPr>
                <w:b w:val="0"/>
                <w:sz w:val="18"/>
              </w:rPr>
              <w:t>1.1.1a</w:t>
            </w:r>
          </w:p>
        </w:tc>
        <w:tc>
          <w:tcPr>
            <w:tcW w:type="dxa" w:w="1701"/>
          </w:tcPr>
          <w:p>
            <w:pPr>
              <w:spacing w:after="20"/>
            </w:pPr>
            <w:r/>
            <w:r>
              <w:rPr>
                <w:b w:val="0"/>
                <w:sz w:val="18"/>
              </w:rPr>
            </w:r>
          </w:p>
        </w:tc>
      </w:tr>
      <w:tr>
        <w:tc>
          <w:tcPr>
            <w:tcW w:type="dxa" w:w="1701"/>
          </w:tcPr>
          <w:p>
            <w:pPr>
              <w:spacing w:after="20"/>
            </w:pPr>
            <w:r/>
            <w:r>
              <w:rPr>
                <w:b w:val="0"/>
                <w:sz w:val="18"/>
              </w:rPr>
              <w:t>SAJC 2026</w:t>
            </w:r>
          </w:p>
        </w:tc>
        <w:tc>
          <w:tcPr>
            <w:tcW w:type="dxa" w:w="1701"/>
          </w:tcPr>
          <w:p>
            <w:pPr>
              <w:spacing w:after="20"/>
            </w:pPr>
            <w:r/>
            <w:r>
              <w:rPr>
                <w:b w:val="0"/>
                <w:sz w:val="18"/>
              </w:rPr>
              <w:t>H2 P2 Q4</w:t>
            </w:r>
          </w:p>
        </w:tc>
        <w:tc>
          <w:tcPr>
            <w:tcW w:type="dxa" w:w="1701"/>
          </w:tcPr>
          <w:p>
            <w:pPr>
              <w:spacing w:after="20"/>
            </w:pPr>
            <w:r/>
            <w:r>
              <w:rPr>
                <w:b w:val="0"/>
                <w:sz w:val="18"/>
              </w:rPr>
              <w:t>Climate change brings few benefits</w:t>
            </w:r>
          </w:p>
        </w:tc>
        <w:tc>
          <w:tcPr>
            <w:tcW w:type="dxa" w:w="1701"/>
          </w:tcPr>
          <w:p>
            <w:pPr>
              <w:spacing w:after="20"/>
            </w:pPr>
            <w:r/>
            <w:r>
              <w:rPr>
                <w:b w:val="0"/>
                <w:sz w:val="18"/>
              </w:rPr>
              <w:t>3.2.2a</w:t>
            </w:r>
          </w:p>
        </w:tc>
        <w:tc>
          <w:tcPr>
            <w:tcW w:type="dxa" w:w="1701"/>
          </w:tcPr>
          <w:p>
            <w:pPr>
              <w:spacing w:after="20"/>
            </w:pPr>
            <w:r/>
            <w:r>
              <w:rPr>
                <w:b w:val="0"/>
                <w:sz w:val="18"/>
              </w:rPr>
              <w:t>3.2.2b</w:t>
            </w:r>
          </w:p>
        </w:tc>
        <w:tc>
          <w:tcPr>
            <w:tcW w:type="dxa" w:w="1701"/>
          </w:tcPr>
          <w:p>
            <w:pPr>
              <w:spacing w:after="20"/>
            </w:pPr>
            <w:r/>
            <w:r>
              <w:rPr>
                <w:b w:val="0"/>
                <w:sz w:val="18"/>
              </w:rPr>
            </w:r>
          </w:p>
        </w:tc>
      </w:tr>
      <w:tr>
        <w:tc>
          <w:tcPr>
            <w:tcW w:type="dxa" w:w="1701"/>
          </w:tcPr>
          <w:p>
            <w:pPr>
              <w:spacing w:after="20"/>
            </w:pPr>
            <w:r/>
            <w:r>
              <w:rPr>
                <w:b w:val="0"/>
                <w:sz w:val="18"/>
              </w:rPr>
              <w:t>TJC 2026</w:t>
            </w:r>
          </w:p>
        </w:tc>
        <w:tc>
          <w:tcPr>
            <w:tcW w:type="dxa" w:w="1701"/>
          </w:tcPr>
          <w:p>
            <w:pPr>
              <w:spacing w:after="20"/>
            </w:pPr>
            <w:r/>
            <w:r>
              <w:rPr>
                <w:b w:val="0"/>
                <w:sz w:val="18"/>
              </w:rPr>
              <w:t>H2 P1 Q5</w:t>
            </w:r>
          </w:p>
        </w:tc>
        <w:tc>
          <w:tcPr>
            <w:tcW w:type="dxa" w:w="1701"/>
          </w:tcPr>
          <w:p>
            <w:pPr>
              <w:spacing w:after="20"/>
            </w:pPr>
            <w:r/>
            <w:r>
              <w:rPr>
                <w:b w:val="0"/>
                <w:sz w:val="18"/>
              </w:rPr>
              <w:t>Limited control over the occurrence of floods</w:t>
            </w:r>
          </w:p>
        </w:tc>
        <w:tc>
          <w:tcPr>
            <w:tcW w:type="dxa" w:w="1701"/>
          </w:tcPr>
          <w:p>
            <w:pPr>
              <w:spacing w:after="20"/>
            </w:pPr>
            <w:r/>
            <w:r>
              <w:rPr>
                <w:b w:val="0"/>
                <w:sz w:val="18"/>
              </w:rPr>
              <w:t>2.1.3a; 2.1.3c</w:t>
            </w:r>
          </w:p>
        </w:tc>
        <w:tc>
          <w:tcPr>
            <w:tcW w:type="dxa" w:w="1701"/>
          </w:tcPr>
          <w:p>
            <w:pPr>
              <w:spacing w:after="20"/>
            </w:pPr>
            <w:r/>
            <w:r>
              <w:rPr>
                <w:b w:val="0"/>
                <w:sz w:val="18"/>
              </w:rPr>
              <w:t>2.1.3c only</w:t>
            </w:r>
          </w:p>
        </w:tc>
        <w:tc>
          <w:tcPr>
            <w:tcW w:type="dxa" w:w="1701"/>
          </w:tcPr>
          <w:p>
            <w:pPr>
              <w:spacing w:after="20"/>
            </w:pPr>
            <w:r/>
            <w:r>
              <w:rPr>
                <w:b w:val="0"/>
                <w:sz w:val="18"/>
              </w:rPr>
            </w:r>
          </w:p>
        </w:tc>
      </w:tr>
      <w:tr>
        <w:tc>
          <w:tcPr>
            <w:tcW w:type="dxa" w:w="1701"/>
          </w:tcPr>
          <w:p>
            <w:pPr>
              <w:spacing w:after="20"/>
            </w:pPr>
            <w:r/>
            <w:r>
              <w:rPr>
                <w:b w:val="0"/>
                <w:sz w:val="18"/>
              </w:rPr>
              <w:t>TMJC 2026</w:t>
            </w:r>
          </w:p>
        </w:tc>
        <w:tc>
          <w:tcPr>
            <w:tcW w:type="dxa" w:w="1701"/>
          </w:tcPr>
          <w:p>
            <w:pPr>
              <w:spacing w:after="20"/>
            </w:pPr>
            <w:r/>
            <w:r>
              <w:rPr>
                <w:b w:val="0"/>
                <w:sz w:val="18"/>
              </w:rPr>
              <w:t>H1 Q3(d)</w:t>
            </w:r>
          </w:p>
        </w:tc>
        <w:tc>
          <w:tcPr>
            <w:tcW w:type="dxa" w:w="1701"/>
          </w:tcPr>
          <w:p>
            <w:pPr>
              <w:spacing w:after="20"/>
            </w:pPr>
            <w:r/>
            <w:r>
              <w:rPr>
                <w:b w:val="0"/>
                <w:sz w:val="18"/>
              </w:rPr>
              <w:t>Rooftop gardens</w:t>
            </w:r>
          </w:p>
        </w:tc>
        <w:tc>
          <w:tcPr>
            <w:tcW w:type="dxa" w:w="1701"/>
          </w:tcPr>
          <w:p>
            <w:pPr>
              <w:spacing w:after="20"/>
            </w:pPr>
            <w:r/>
            <w:r>
              <w:rPr>
                <w:b w:val="0"/>
                <w:sz w:val="18"/>
              </w:rPr>
              <w:t>1.2.3a</w:t>
            </w:r>
          </w:p>
        </w:tc>
        <w:tc>
          <w:tcPr>
            <w:tcW w:type="dxa" w:w="1701"/>
          </w:tcPr>
          <w:p>
            <w:pPr>
              <w:spacing w:after="20"/>
            </w:pPr>
            <w:r/>
            <w:r>
              <w:rPr>
                <w:b w:val="0"/>
                <w:sz w:val="18"/>
              </w:rPr>
              <w:t>1.1.2c</w:t>
            </w:r>
          </w:p>
        </w:tc>
        <w:tc>
          <w:tcPr>
            <w:tcW w:type="dxa" w:w="1701"/>
          </w:tcPr>
          <w:p>
            <w:pPr>
              <w:spacing w:after="20"/>
            </w:pPr>
            <w:r/>
            <w:r>
              <w:rPr>
                <w:b w:val="0"/>
                <w:sz w:val="18"/>
              </w:rPr>
            </w:r>
          </w:p>
        </w:tc>
      </w:tr>
      <w:tr>
        <w:tc>
          <w:tcPr>
            <w:tcW w:type="dxa" w:w="1701"/>
          </w:tcPr>
          <w:p>
            <w:pPr>
              <w:spacing w:after="20"/>
            </w:pPr>
            <w:r/>
            <w:r>
              <w:rPr>
                <w:b w:val="0"/>
                <w:sz w:val="18"/>
              </w:rPr>
              <w:t>YIJC 2026</w:t>
            </w:r>
          </w:p>
        </w:tc>
        <w:tc>
          <w:tcPr>
            <w:tcW w:type="dxa" w:w="1701"/>
          </w:tcPr>
          <w:p>
            <w:pPr>
              <w:spacing w:after="20"/>
            </w:pPr>
            <w:r/>
            <w:r>
              <w:rPr>
                <w:b w:val="0"/>
                <w:sz w:val="18"/>
              </w:rPr>
              <w:t>H2 P1 Q2(d)</w:t>
            </w:r>
          </w:p>
        </w:tc>
        <w:tc>
          <w:tcPr>
            <w:tcW w:type="dxa" w:w="1701"/>
          </w:tcPr>
          <w:p>
            <w:pPr>
              <w:spacing w:after="20"/>
            </w:pPr>
            <w:r/>
            <w:r>
              <w:rPr>
                <w:b w:val="0"/>
                <w:sz w:val="18"/>
              </w:rPr>
              <w:t>Channelisation and fluvial processes</w:t>
            </w:r>
          </w:p>
        </w:tc>
        <w:tc>
          <w:tcPr>
            <w:tcW w:type="dxa" w:w="1701"/>
          </w:tcPr>
          <w:p>
            <w:pPr>
              <w:spacing w:after="20"/>
            </w:pPr>
            <w:r/>
            <w:r>
              <w:rPr>
                <w:b w:val="0"/>
                <w:sz w:val="18"/>
              </w:rPr>
              <w:t>2.2.1c</w:t>
            </w:r>
          </w:p>
        </w:tc>
        <w:tc>
          <w:tcPr>
            <w:tcW w:type="dxa" w:w="1701"/>
          </w:tcPr>
          <w:p>
            <w:pPr>
              <w:spacing w:after="20"/>
            </w:pPr>
            <w:r/>
            <w:r>
              <w:rPr>
                <w:b w:val="0"/>
                <w:sz w:val="18"/>
              </w:rPr>
              <w:t>2.1.3c</w:t>
            </w:r>
          </w:p>
        </w:tc>
        <w:tc>
          <w:tcPr>
            <w:tcW w:type="dxa" w:w="1701"/>
          </w:tcPr>
          <w:p>
            <w:pPr>
              <w:spacing w:after="20"/>
            </w:pPr>
            <w:r/>
            <w:r>
              <w:rPr>
                <w:b w:val="0"/>
                <w:sz w:val="18"/>
              </w:rPr>
            </w:r>
          </w:p>
        </w:tc>
      </w:tr>
    </w:tbl>
    <w:p>
      <w:pPr>
        <w:pStyle w:val="Heading1"/>
      </w:pPr>
      <w:r>
        <w:t>6. To review: other points</w:t>
      </w:r>
    </w:p>
    <w:p>
      <w:pPr>
        <w:pStyle w:val="ListBullet"/>
      </w:pPr>
      <w:r>
        <w:t>TMJC 2026 H2 P1 Q2(e) (where Amazon deforestation happens, 4 marks) matches no syllabus Key Question, so it carries no code in its cell.</w:t>
      </w:r>
    </w:p>
    <w:p>
      <w:pPr>
        <w:pStyle w:val="ListBullet"/>
      </w:pPr>
      <w:r>
        <w:t>Two questions really cross clusters, so their cells show codes from both: CJC 2025 H2 P1 Q2 (Nile/GERD – includes 1.1.3b transboundary water) and HCI 2025 H2 P1 Q1 (Medog dam – includes 2.2.3c delta ecosystem services).</w:t>
      </w:r>
    </w:p>
    <w:p>
      <w:pPr>
        <w:pStyle w:val="ListBullet"/>
      </w:pPr>
      <w:r>
        <w:t>Recurring boundary calls, applied the same way everywhere: 'interdependence/interconnectedness' parts → 1.2.2a; monsoon rainfall explained through the ITCZ → 2.1.1c; how sea-level rise happens → x.2.2a (effects of CC); ice-sheet changes as a driver → x.2.1b.</w:t>
      </w:r>
    </w:p>
    <w:p>
      <w:pPr>
        <w:pStyle w:val="Heading1"/>
      </w:pPr>
      <w:r>
        <w:t>7. To consider</w:t>
      </w:r>
    </w:p>
    <w:p>
      <w:pPr>
        <w:pStyle w:val="ListBullet"/>
      </w:pPr>
      <w:r>
        <w:t>Mark the key questions that were not set in 2026 (or have the lowest totals) as 'due' topics, e.g. with a bold border in the frequency table.</w:t>
      </w:r>
    </w:p>
    <w:p>
      <w:pPr>
        <w:pStyle w:val="ListBullet"/>
      </w:pPr>
      <w:r>
        <w:t>Show the same focus line in the question headings of docs 2b–2f, so a question can be found quickly from doc 1.</w:t>
      </w:r>
    </w:p>
    <w:p>
      <w:pPr>
        <w:pStyle w:val="ListBullet"/>
      </w:pPr>
      <w:r>
        <w:t>The H2 Paper 1 table runs to 17 pages because structured cells list up to 7 key questions. For printing, cells could show only the top 2–3 key questions (most marks).</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