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432E" w14:textId="77777777" w:rsidR="00F21BF1" w:rsidRDefault="00000000">
      <w:pPr>
        <w:pStyle w:val="Title"/>
      </w:pPr>
      <w:r>
        <w:t>2026 H2 Geography Paper 1 Mark Scheme</w:t>
      </w:r>
    </w:p>
    <w:p w14:paraId="0C05D035" w14:textId="77777777" w:rsidR="00F21BF1" w:rsidRDefault="00000000">
      <w:pPr>
        <w:pStyle w:val="Heading1"/>
      </w:pPr>
      <w:r>
        <w:t>Section A  Structured questions</w:t>
      </w:r>
    </w:p>
    <w:p w14:paraId="56113028" w14:textId="77777777" w:rsidR="00F21BF1" w:rsidRDefault="00000000">
      <w:pPr>
        <w:pStyle w:val="Heading1"/>
      </w:pPr>
      <w:r>
        <w:t>Question 1  Development Economy and Environment  30 marks</w:t>
      </w:r>
    </w:p>
    <w:p w14:paraId="6C71637E" w14:textId="77777777" w:rsidR="00F21BF1" w:rsidRDefault="00000000">
      <w:pPr>
        <w:pStyle w:val="Heading2"/>
      </w:pPr>
      <w:r>
        <w:t>1(a)  Describe the pattern of waste flows shown in Resource 1.  [6]</w:t>
      </w:r>
    </w:p>
    <w:p w14:paraId="5502C75E" w14:textId="77777777" w:rsidR="00F21BF1" w:rsidRDefault="00000000">
      <w:r>
        <w:rPr>
          <w:b/>
        </w:rPr>
        <w:t xml:space="preserve">Marking guidance: </w:t>
      </w:r>
      <w:r>
        <w:t>Award 1 mark for each distinct, accurate description, up to 6. Credit supported spatial comparisons; avoid double credit for restatements.</w:t>
      </w:r>
    </w:p>
    <w:p w14:paraId="66A73EE2" w14:textId="77777777" w:rsidR="00F21BF1" w:rsidRDefault="00000000">
      <w:pPr>
        <w:pStyle w:val="ListBullet"/>
      </w:pPr>
      <w:r>
        <w:t>North America and Europe are major waste origins; China and Hong Kong are a principal destination receiving flows from several regions.</w:t>
      </w:r>
    </w:p>
    <w:p w14:paraId="392446DC" w14:textId="77777777" w:rsidR="00F21BF1" w:rsidRDefault="00000000">
      <w:pPr>
        <w:pStyle w:val="ListBullet"/>
      </w:pPr>
      <w:r>
        <w:t>The North America to China and Hong Kong flow is among the largest inter-regional flows; substantial waste also moves within Europe.</w:t>
      </w:r>
    </w:p>
    <w:p w14:paraId="3FBF28D5" w14:textId="77777777" w:rsidR="00F21BF1" w:rsidRDefault="00000000">
      <w:pPr>
        <w:pStyle w:val="ListBullet"/>
      </w:pPr>
      <w:r>
        <w:t>Flows are uneven: smaller flows reach Southeast Asia, India, Indonesia, the Middle East and Africa. Credit accurate magnitudes and exceptions from Resource 1.</w:t>
      </w:r>
    </w:p>
    <w:p w14:paraId="238E5516" w14:textId="77777777" w:rsidR="00F21BF1" w:rsidRDefault="00000000">
      <w:pPr>
        <w:pStyle w:val="Heading2"/>
      </w:pPr>
      <w:r>
        <w:t>1(b)  Explain the shifts in global patterns of manufacturing and services since the 1950s.  [6]</w:t>
      </w:r>
    </w:p>
    <w:p w14:paraId="26630170" w14:textId="77777777" w:rsidR="00F21BF1" w:rsidRDefault="00000000">
      <w:r>
        <w:rPr>
          <w:b/>
        </w:rPr>
        <w:t xml:space="preserve">Marking guidance: </w:t>
      </w:r>
      <w:r>
        <w:t>Award up to 2 marks per developed explanation of a relevant shift and its driver. Credit a clear temporal sequence and distinction between manufacturing and services.</w:t>
      </w:r>
    </w:p>
    <w:p w14:paraId="3F3AF45D" w14:textId="77777777" w:rsidR="00F21BF1" w:rsidRDefault="00000000">
      <w:pPr>
        <w:pStyle w:val="ListBullet"/>
      </w:pPr>
      <w:r>
        <w:t>Manufacturing shifted from established industrial economies to newly industrialising economies, then more widely to China and Southeast Asia, as firms sought lower costs and favourable investment conditions.</w:t>
      </w:r>
    </w:p>
    <w:p w14:paraId="53BD62FC" w14:textId="77777777" w:rsidR="00F21BF1" w:rsidRDefault="00000000">
      <w:pPr>
        <w:pStyle w:val="ListBullet"/>
      </w:pPr>
      <w:r>
        <w:t>Service functions, including business processing and IT, later moved to locations such as India and the Philippines, enabled by digital communications and suitable labour.</w:t>
      </w:r>
    </w:p>
    <w:p w14:paraId="238B372A" w14:textId="77777777" w:rsidR="00F21BF1" w:rsidRDefault="00000000">
      <w:pPr>
        <w:pStyle w:val="ListBullet"/>
      </w:pPr>
      <w:r>
        <w:t>Containerisation, improved transport, trade liberalisation and ICT allowed production and services to be coordinated across borders. Credit well-supported recent qualifications such as diversification or reshoring.</w:t>
      </w:r>
    </w:p>
    <w:p w14:paraId="2ED00307" w14:textId="77777777" w:rsidR="00F21BF1" w:rsidRDefault="00000000">
      <w:pPr>
        <w:pStyle w:val="Heading2"/>
      </w:pPr>
      <w:r>
        <w:t>1(c)  Compare the FDI inflow across regions between 1990 and 2025 shown in Resource 2.  [5]</w:t>
      </w:r>
    </w:p>
    <w:p w14:paraId="7D10E2EE" w14:textId="77777777" w:rsidR="00F21BF1" w:rsidRDefault="00000000">
      <w:r>
        <w:rPr>
          <w:b/>
        </w:rPr>
        <w:t xml:space="preserve">Marking guidance: </w:t>
      </w:r>
      <w:r>
        <w:t>Award 1 mark for each relevant comparison. Award an additional mark for elaboration or accurate data support, up to 5. Require comparisons between years or regions, not isolated descriptions.</w:t>
      </w:r>
    </w:p>
    <w:p w14:paraId="0BDEB7EE" w14:textId="77777777" w:rsidR="00F21BF1" w:rsidRDefault="00000000">
      <w:pPr>
        <w:pStyle w:val="ListBullet"/>
      </w:pPr>
      <w:r>
        <w:t>All regions increased their FDI inflows between 1990 and 2025, but the increases were unequal.</w:t>
      </w:r>
    </w:p>
    <w:p w14:paraId="7A42D57D" w14:textId="77777777" w:rsidR="00F21BF1" w:rsidRDefault="00000000">
      <w:pPr>
        <w:pStyle w:val="ListBullet"/>
      </w:pPr>
      <w:r>
        <w:t>Asia overtook Europe to have the highest inflow by 2025; Africa and Australasia remained relatively low.</w:t>
      </w:r>
    </w:p>
    <w:p w14:paraId="710506CE" w14:textId="77777777" w:rsidR="00F21BF1" w:rsidRDefault="00000000">
      <w:pPr>
        <w:pStyle w:val="ListBullet"/>
      </w:pPr>
      <w:r>
        <w:t>Credit accurate comparisons of changed rank, absolute growth or widening gaps using Resource 2.</w:t>
      </w:r>
    </w:p>
    <w:p w14:paraId="68E30A57" w14:textId="77777777" w:rsidR="00F21BF1" w:rsidRDefault="00000000">
      <w:pPr>
        <w:pStyle w:val="Heading2"/>
      </w:pPr>
      <w:r>
        <w:t>1(d)  Explain how Apple’s production network shown in Resource 3 demonstrates interconnectedness within the global economy.  [6]</w:t>
      </w:r>
    </w:p>
    <w:p w14:paraId="69108F08" w14:textId="77777777" w:rsidR="00F21BF1" w:rsidRDefault="00000000">
      <w:r>
        <w:rPr>
          <w:b/>
        </w:rPr>
        <w:t xml:space="preserve">Marking guidance: </w:t>
      </w:r>
      <w:r>
        <w:t>Award up to 2 marks per explained link between evidence in Resource 3 and interconnectedness. Describing locations alone is insufficient.</w:t>
      </w:r>
    </w:p>
    <w:p w14:paraId="3B4C2788" w14:textId="77777777" w:rsidR="00F21BF1" w:rsidRDefault="00000000">
      <w:pPr>
        <w:pStyle w:val="ListBullet"/>
      </w:pPr>
      <w:r>
        <w:t>Components sourced from multiple countries connect specialised suppliers to assembly operations, especially in East Asia.</w:t>
      </w:r>
    </w:p>
    <w:p w14:paraId="73956F62" w14:textId="77777777" w:rsidR="00F21BF1" w:rsidRDefault="00000000">
      <w:pPr>
        <w:pStyle w:val="ListBullet"/>
      </w:pPr>
      <w:r>
        <w:t>Assembly and distribution link firms and places to consumers in global markets through flows of goods, capital and information.</w:t>
      </w:r>
    </w:p>
    <w:p w14:paraId="46DF00C8" w14:textId="77777777" w:rsidR="00F21BF1" w:rsidRDefault="00000000">
      <w:pPr>
        <w:pStyle w:val="ListBullet"/>
      </w:pPr>
      <w:r>
        <w:t>Production is geographically differentiated and can expand or shift among countries as costs and risks change. Credit appropriate resource detail.</w:t>
      </w:r>
    </w:p>
    <w:p w14:paraId="742DCDFF" w14:textId="77777777" w:rsidR="00F21BF1" w:rsidRDefault="00000000">
      <w:pPr>
        <w:pStyle w:val="Heading2"/>
      </w:pPr>
      <w:r>
        <w:t>1(e)  Using Resource 4, compare the employment structures between developed and developing economies.  [3]</w:t>
      </w:r>
    </w:p>
    <w:p w14:paraId="1C44AB92" w14:textId="77777777" w:rsidR="00F21BF1" w:rsidRDefault="00000000">
      <w:r>
        <w:rPr>
          <w:b/>
        </w:rPr>
        <w:t xml:space="preserve">Marking guidance: </w:t>
      </w:r>
      <w:r>
        <w:t>Award 1 mark for each accurate comparative statement from Resource 4, up to 3. Credit correctly read percentages where used.</w:t>
      </w:r>
    </w:p>
    <w:p w14:paraId="1176C44D" w14:textId="77777777" w:rsidR="00F21BF1" w:rsidRDefault="00000000">
      <w:pPr>
        <w:pStyle w:val="ListBullet"/>
      </w:pPr>
      <w:r>
        <w:t>Developed economies generally have a larger tertiary share; developing economies generally have a larger primary share.</w:t>
      </w:r>
    </w:p>
    <w:p w14:paraId="145583A9" w14:textId="77777777" w:rsidR="00F21BF1" w:rsidRDefault="00000000">
      <w:pPr>
        <w:pStyle w:val="ListBullet"/>
      </w:pPr>
      <w:r>
        <w:lastRenderedPageBreak/>
        <w:t>Secondary employment shares overlap between the two groups.</w:t>
      </w:r>
    </w:p>
    <w:p w14:paraId="2FA89B06" w14:textId="77777777" w:rsidR="00F21BF1" w:rsidRDefault="00000000">
      <w:pPr>
        <w:pStyle w:val="Heading2"/>
      </w:pPr>
      <w:r>
        <w:t>1(f)  Using examples, explain two ways in which the World Trade Organisation (WTO) has benefitted developing economies.  [4]</w:t>
      </w:r>
    </w:p>
    <w:p w14:paraId="72500A98" w14:textId="77777777" w:rsidR="00F21BF1" w:rsidRDefault="00000000">
      <w:r>
        <w:rPr>
          <w:b/>
        </w:rPr>
        <w:t xml:space="preserve">Marking guidance: </w:t>
      </w:r>
      <w:r>
        <w:t>Award 2 marks for each of two distinct, explained benefits, with relevant examples. A named WTO role without its benefit to developing economies merits limited credit.</w:t>
      </w:r>
    </w:p>
    <w:p w14:paraId="03B36C1F" w14:textId="77777777" w:rsidR="00F21BF1" w:rsidRDefault="00000000">
      <w:pPr>
        <w:pStyle w:val="ListBullet"/>
      </w:pPr>
      <w:r>
        <w:t>Negotiated reductions in trade barriers can improve export market access and earnings.</w:t>
      </w:r>
    </w:p>
    <w:p w14:paraId="1547A154" w14:textId="77777777" w:rsidR="00F21BF1" w:rsidRDefault="00000000">
      <w:pPr>
        <w:pStyle w:val="ListBullet"/>
      </w:pPr>
      <w:r>
        <w:t>Dispute settlement, special and differential treatment or technical assistance can help developing economies participate in trade. Credit valid named examples.</w:t>
      </w:r>
    </w:p>
    <w:p w14:paraId="7804D29A" w14:textId="77777777" w:rsidR="00F21BF1" w:rsidRDefault="00000000">
      <w:pPr>
        <w:pStyle w:val="Heading1"/>
      </w:pPr>
      <w:r>
        <w:t>Question 2  Tropical Environments  30 marks</w:t>
      </w:r>
    </w:p>
    <w:p w14:paraId="6C105BE6" w14:textId="77777777" w:rsidR="00F21BF1" w:rsidRDefault="00000000">
      <w:pPr>
        <w:pStyle w:val="Heading2"/>
      </w:pPr>
      <w:r>
        <w:t>2(a)  Using Resource 5, describe the features of the mass movement shown.  [4]</w:t>
      </w:r>
    </w:p>
    <w:p w14:paraId="4AA26D6E" w14:textId="77777777" w:rsidR="00F21BF1" w:rsidRDefault="00000000">
      <w:r>
        <w:rPr>
          <w:b/>
        </w:rPr>
        <w:t xml:space="preserve">Marking guidance: </w:t>
      </w:r>
      <w:r>
        <w:t>Award 1 mark for each relevant visible description, up to 4. Do not require identification of a specific mass movement type.</w:t>
      </w:r>
    </w:p>
    <w:p w14:paraId="544CFDEF" w14:textId="77777777" w:rsidR="00F21BF1" w:rsidRDefault="00000000">
      <w:pPr>
        <w:pStyle w:val="ListBullet"/>
      </w:pPr>
      <w:r>
        <w:t>Large downslope area of exposed soil and rock contrasts with vegetated surroundings; a curved head scarp and smaller slope breaks are visible.</w:t>
      </w:r>
    </w:p>
    <w:p w14:paraId="28B6A606" w14:textId="77777777" w:rsidR="00F21BF1" w:rsidRDefault="00000000">
      <w:pPr>
        <w:pStyle w:val="ListBullet"/>
      </w:pPr>
      <w:r>
        <w:t>Debris includes soil and rock fragments and extends towards the river, with accumulation near the slope base.</w:t>
      </w:r>
    </w:p>
    <w:p w14:paraId="020BF2C0" w14:textId="77777777" w:rsidR="00F21BF1" w:rsidRDefault="00000000">
      <w:pPr>
        <w:pStyle w:val="Heading2"/>
      </w:pPr>
      <w:r>
        <w:t>2(b)  Describe the distribution of areas affected by tropical cyclones shown in Resource 6.  [5]</w:t>
      </w:r>
    </w:p>
    <w:p w14:paraId="1F6C5691" w14:textId="77777777" w:rsidR="00F21BF1" w:rsidRDefault="00000000">
      <w:r>
        <w:rPr>
          <w:b/>
        </w:rPr>
        <w:t xml:space="preserve">Marking guidance: </w:t>
      </w:r>
      <w:r>
        <w:t>Award 1 mark for each distinct, accurate distributional observation, up to 5. Credit specific places and frequency categories shown in Resource 6.</w:t>
      </w:r>
    </w:p>
    <w:p w14:paraId="1A41AF9A" w14:textId="77777777" w:rsidR="00F21BF1" w:rsidRDefault="00000000">
      <w:pPr>
        <w:pStyle w:val="ListBullet"/>
      </w:pPr>
      <w:r>
        <w:t>Affected areas cluster over tropical and subtropical oceans and nearby coasts in both hemispheres, with a gap near the Equator.</w:t>
      </w:r>
    </w:p>
    <w:p w14:paraId="64FA76E4" w14:textId="77777777" w:rsidR="00F21BF1" w:rsidRDefault="00000000">
      <w:pPr>
        <w:pStyle w:val="ListBullet"/>
      </w:pPr>
      <w:r>
        <w:t>The western North Pacific is particularly extensive and frequently affected; the South Atlantic and continental interiors are largely unaffected.</w:t>
      </w:r>
    </w:p>
    <w:p w14:paraId="77B001C2" w14:textId="77777777" w:rsidR="00F21BF1" w:rsidRDefault="00000000">
      <w:pPr>
        <w:pStyle w:val="ListBullet"/>
      </w:pPr>
      <w:r>
        <w:t>Credit accurate contrasts among ocean basins, coastlines and latitudes.</w:t>
      </w:r>
    </w:p>
    <w:p w14:paraId="36407620" w14:textId="77777777" w:rsidR="00F21BF1" w:rsidRDefault="00000000">
      <w:pPr>
        <w:pStyle w:val="Heading2"/>
      </w:pPr>
      <w:r>
        <w:t>2(c)  Explain why tropical cyclones only affect specific areas around the world.  [5]</w:t>
      </w:r>
    </w:p>
    <w:p w14:paraId="62006CD5" w14:textId="77777777" w:rsidR="00F21BF1" w:rsidRDefault="00000000">
      <w:r>
        <w:rPr>
          <w:b/>
        </w:rPr>
        <w:t xml:space="preserve">Marking guidance: </w:t>
      </w:r>
      <w:r>
        <w:t>Award 1 mark for each relevant explanation. Award an additional mark for developed causal reasoning or a suitable example, up to 5.</w:t>
      </w:r>
    </w:p>
    <w:p w14:paraId="455C24F5" w14:textId="77777777" w:rsidR="00F21BF1" w:rsidRDefault="00000000">
      <w:pPr>
        <w:pStyle w:val="ListBullet"/>
      </w:pPr>
      <w:r>
        <w:t>Warm deep ocean water supplies moisture and latent heat; sufficient Coriolis force is needed for organised rotation, leaving an equatorial gap.</w:t>
      </w:r>
    </w:p>
    <w:p w14:paraId="7B02B553" w14:textId="77777777" w:rsidR="00F21BF1" w:rsidRDefault="00000000">
      <w:pPr>
        <w:pStyle w:val="ListBullet"/>
      </w:pPr>
      <w:r>
        <w:t>Systems weaken over land as heat and moisture supply is cut off and friction increases.</w:t>
      </w:r>
    </w:p>
    <w:p w14:paraId="31F327B1" w14:textId="77777777" w:rsidR="00F21BF1" w:rsidRDefault="00000000">
      <w:pPr>
        <w:pStyle w:val="ListBullet"/>
      </w:pPr>
      <w:r>
        <w:t>Ocean temperatures, prevailing winds and atmospheric disturbances help explain differences among coasts and basins.</w:t>
      </w:r>
    </w:p>
    <w:p w14:paraId="58467290" w14:textId="77777777" w:rsidR="00F21BF1" w:rsidRDefault="00000000">
      <w:pPr>
        <w:pStyle w:val="Heading2"/>
      </w:pPr>
      <w:r>
        <w:t>2(d)  Using Resource 7, compare the depth of groundwater in southern India between March and September.  [5]</w:t>
      </w:r>
    </w:p>
    <w:p w14:paraId="21A5E02C" w14:textId="77777777" w:rsidR="00F21BF1" w:rsidRDefault="00000000">
      <w:r>
        <w:rPr>
          <w:b/>
        </w:rPr>
        <w:t xml:space="preserve">Marking guidance: </w:t>
      </w:r>
      <w:r>
        <w:t>Award 1 mark for each relevant comparison. Award an additional mark for elaboration or data support, up to 5.</w:t>
      </w:r>
    </w:p>
    <w:p w14:paraId="7395B400" w14:textId="77777777" w:rsidR="00F21BF1" w:rsidRDefault="00000000">
      <w:pPr>
        <w:pStyle w:val="ListBullet"/>
      </w:pPr>
      <w:r>
        <w:t>Groundwater is generally deeper below the surface in March and shallower in September: areas of 10.0–19.9 m shrink as 2.0–4.9 m areas expand.</w:t>
      </w:r>
    </w:p>
    <w:p w14:paraId="512750CC" w14:textId="77777777" w:rsidR="00F21BF1" w:rsidRDefault="00000000">
      <w:pPr>
        <w:pStyle w:val="ListBullet"/>
      </w:pPr>
      <w:r>
        <w:t>Very shallow groundwater below 2 m becomes more widespread by September; some deeper pockets persist and change is spatially uneven.</w:t>
      </w:r>
    </w:p>
    <w:p w14:paraId="6C53720E" w14:textId="77777777" w:rsidR="00F21BF1" w:rsidRDefault="00000000">
      <w:pPr>
        <w:pStyle w:val="ListBullet"/>
      </w:pPr>
      <w:r>
        <w:t>Credit accurate place-specific contrasts and categories shown in Resource 7.</w:t>
      </w:r>
    </w:p>
    <w:p w14:paraId="584B7C05" w14:textId="77777777" w:rsidR="00F21BF1" w:rsidRDefault="00000000">
      <w:pPr>
        <w:pStyle w:val="Heading2"/>
      </w:pPr>
      <w:r>
        <w:t>2(e)  Using Resources 7 and 8, suggest reasons for the changes in the depth of groundwater in southern India between March and September.  [6]</w:t>
      </w:r>
    </w:p>
    <w:p w14:paraId="62E1AC3F" w14:textId="77777777" w:rsidR="00F21BF1" w:rsidRDefault="00000000">
      <w:r>
        <w:rPr>
          <w:b/>
        </w:rPr>
        <w:t xml:space="preserve">Marking guidance: </w:t>
      </w:r>
      <w:r>
        <w:t>Award 1 mark for each relevant explanation. Award an additional mark for developed reasoning or accurate support from both resources, up to 6.</w:t>
      </w:r>
    </w:p>
    <w:p w14:paraId="0699E454" w14:textId="77777777" w:rsidR="00F21BF1" w:rsidRDefault="00000000">
      <w:pPr>
        <w:pStyle w:val="ListBullet"/>
      </w:pPr>
      <w:r>
        <w:lastRenderedPageBreak/>
        <w:t>March has low precipitation relative to potential evapotranspiration, limiting infiltration and recharge; the water table remains relatively deep.</w:t>
      </w:r>
    </w:p>
    <w:p w14:paraId="58D90C28" w14:textId="77777777" w:rsidR="00F21BF1" w:rsidRDefault="00000000">
      <w:pPr>
        <w:pStyle w:val="ListBullet"/>
      </w:pPr>
      <w:r>
        <w:t>Wet-season rainfall from June to September exceeds potential evapotranspiration. Soil moisture is replenished, then surplus infiltrates and percolates to recharge groundwater.</w:t>
      </w:r>
    </w:p>
    <w:p w14:paraId="19B449BA" w14:textId="77777777" w:rsidR="00F21BF1" w:rsidRDefault="00000000">
      <w:pPr>
        <w:pStyle w:val="ListBullet"/>
      </w:pPr>
      <w:r>
        <w:t>Recharge accumulates over several months, raising the water table by September. Local rainfall, permeability, geology and abstraction can explain uneven change.</w:t>
      </w:r>
    </w:p>
    <w:p w14:paraId="347D2D54" w14:textId="77777777" w:rsidR="00F21BF1" w:rsidRDefault="00000000">
      <w:pPr>
        <w:pStyle w:val="Heading2"/>
      </w:pPr>
      <w:r>
        <w:t>2(f)  Explain how the El Niño phase of the El Niño Southern Oscillation (ENSO) affects rainfall over the tropical Pacific.  [5]</w:t>
      </w:r>
    </w:p>
    <w:p w14:paraId="4140B14E" w14:textId="77777777" w:rsidR="00F21BF1" w:rsidRDefault="00000000">
      <w:r>
        <w:rPr>
          <w:b/>
        </w:rPr>
        <w:t xml:space="preserve">Marking guidance: </w:t>
      </w:r>
      <w:r>
        <w:t>Award 1 mark for each relevant link in the explanation. Award an additional mark for developed causal reasoning, up to 5.</w:t>
      </w:r>
    </w:p>
    <w:p w14:paraId="69DEC33E" w14:textId="77777777" w:rsidR="00F21BF1" w:rsidRDefault="00000000">
      <w:pPr>
        <w:pStyle w:val="ListBullet"/>
      </w:pPr>
      <w:r>
        <w:t>Weakened easterly trade winds allow warm surface water and the main convection zone to shift eastwards; suppressed upwelling warms the eastern Pacific.</w:t>
      </w:r>
    </w:p>
    <w:p w14:paraId="21F50D6C" w14:textId="77777777" w:rsidR="00F21BF1" w:rsidRDefault="00000000">
      <w:pPr>
        <w:pStyle w:val="ListBullet"/>
      </w:pPr>
      <w:r>
        <w:t>The central and eastern tropical Pacific become wetter, while reduced rising air brings drier conditions to Indonesia and the western Pacific.</w:t>
      </w:r>
    </w:p>
    <w:p w14:paraId="5110B14A" w14:textId="77777777" w:rsidR="00F21BF1" w:rsidRDefault="00000000">
      <w:pPr>
        <w:pStyle w:val="ListBullet"/>
      </w:pPr>
      <w:r>
        <w:t>Credit explanation through the weakened or displaced Walker circulation.</w:t>
      </w:r>
    </w:p>
    <w:p w14:paraId="086E418C" w14:textId="77777777" w:rsidR="00F21BF1" w:rsidRDefault="00000000">
      <w:pPr>
        <w:pStyle w:val="Heading1"/>
      </w:pPr>
      <w:r>
        <w:t>Section B  Essays  20 marks each</w:t>
      </w:r>
    </w:p>
    <w:p w14:paraId="08D54D49" w14:textId="77777777" w:rsidR="00F21BF1" w:rsidRDefault="00000000">
      <w:r>
        <w:t>Assess each essay holistically. Strong responses select accurate knowledge and examples, develop causal explanations, address the exact proposition, weigh alternatives using clear criteria and reach a supported judgement. Credit coherent alternative approaches.</w:t>
      </w:r>
    </w:p>
    <w:p w14:paraId="7A02B08C" w14:textId="77777777" w:rsidR="00F21BF1" w:rsidRDefault="00000000">
      <w:pPr>
        <w:pStyle w:val="Heading2"/>
      </w:pPr>
      <w:r>
        <w:t>3  ‘Economic and political challenges present equally significant barriers to making progress towards sustainable development.’ Evaluate this statement.  [20]</w:t>
      </w:r>
    </w:p>
    <w:p w14:paraId="543BF28E" w14:textId="77777777" w:rsidR="00F21BF1" w:rsidRDefault="00000000">
      <w:pPr>
        <w:keepNext/>
      </w:pPr>
      <w:r>
        <w:rPr>
          <w:b/>
        </w:rPr>
        <w:t>Possible Approach:</w:t>
      </w:r>
    </w:p>
    <w:p w14:paraId="1AD509A1" w14:textId="77777777" w:rsidR="00F21BF1" w:rsidRDefault="00000000">
      <w:r>
        <w:t>Candidates could analyse how economic constraints affect the resources available for sustainable development, while political conditions shape priorities, coordination and implementation. Relevant contexts may be used to consider the significance of each type of barrier.</w:t>
      </w:r>
    </w:p>
    <w:p w14:paraId="79DF295F" w14:textId="77777777" w:rsidR="00F21BF1" w:rsidRDefault="00000000">
      <w:r>
        <w:t>Candidates could also judge whether the barriers are equally significant across different places or scales. They may consider how economic and political challenges interact and the circumstances in which one becomes more influential.</w:t>
      </w:r>
    </w:p>
    <w:p w14:paraId="01431116" w14:textId="77777777" w:rsidR="00F21BF1" w:rsidRDefault="00000000">
      <w:pPr>
        <w:pStyle w:val="Heading2"/>
      </w:pPr>
      <w:r>
        <w:t>4  Evaluate whether states have the greatest influence on TNCs.  [20]</w:t>
      </w:r>
    </w:p>
    <w:p w14:paraId="04F317F1" w14:textId="77777777" w:rsidR="00F21BF1" w:rsidRDefault="00000000">
      <w:pPr>
        <w:keepNext/>
      </w:pPr>
      <w:r>
        <w:rPr>
          <w:b/>
        </w:rPr>
        <w:t>Possible Approach:</w:t>
      </w:r>
    </w:p>
    <w:p w14:paraId="7CEA2CB3" w14:textId="77777777" w:rsidR="00F21BF1" w:rsidRDefault="00000000">
      <w:r>
        <w:t>Candidates could analyse the ways states influence TNC activities through their control over national policies and conditions for investment. This may be compared with the influence of TNCs themselves, labour and multilateral institutions.</w:t>
      </w:r>
    </w:p>
    <w:p w14:paraId="3EC1C48C" w14:textId="77777777" w:rsidR="00F21BF1" w:rsidRDefault="00000000">
      <w:r>
        <w:t>Candidates could also judge whether state influence varies across contexts, with reference to differences in bargaining power, institutional capacity or the nature of economic activity. Relevant examples may support different conclusions.</w:t>
      </w:r>
    </w:p>
    <w:p w14:paraId="2A9E10A4" w14:textId="77777777" w:rsidR="00F21BF1" w:rsidRDefault="00000000">
      <w:pPr>
        <w:pStyle w:val="Heading2"/>
      </w:pPr>
      <w:r>
        <w:t>5  ‘Humans have limited control over the occurrence of fluvial floods.’ Evaluate this statement.  [20]</w:t>
      </w:r>
    </w:p>
    <w:p w14:paraId="0CF13EFE" w14:textId="77777777" w:rsidR="00F21BF1" w:rsidRDefault="00000000">
      <w:pPr>
        <w:keepNext/>
      </w:pPr>
      <w:r>
        <w:rPr>
          <w:b/>
        </w:rPr>
        <w:t>Possible Approach:</w:t>
      </w:r>
    </w:p>
    <w:p w14:paraId="1E0A60D4" w14:textId="77777777" w:rsidR="00F21BF1" w:rsidRDefault="00000000">
      <w:r>
        <w:t>Candidates could examine how physical conditions affect the occurrence of fluvial floods and the extent to which people can change drainage basin processes. Different forms of human intervention may be considered.</w:t>
      </w:r>
    </w:p>
    <w:p w14:paraId="0F317498" w14:textId="77777777" w:rsidR="00F21BF1" w:rsidRDefault="00000000">
      <w:r>
        <w:t>Candidates could judge whether the degree of control changes with the scale and intensity of an event or with catchment conditions. Relevant examples may be used to distinguish reducing the likelihood of a flood from preventing it altogether.</w:t>
      </w:r>
    </w:p>
    <w:p w14:paraId="77529AF2" w14:textId="77777777" w:rsidR="00F21BF1" w:rsidRDefault="00000000">
      <w:pPr>
        <w:pStyle w:val="Heading2"/>
      </w:pPr>
      <w:r>
        <w:lastRenderedPageBreak/>
        <w:t>6  Evaluate the extent to which weathering is the dominant geomorphic process in tropical areas.  [20]</w:t>
      </w:r>
    </w:p>
    <w:p w14:paraId="370F2ACE" w14:textId="77777777" w:rsidR="00F21BF1" w:rsidRDefault="00000000">
      <w:pPr>
        <w:keepNext/>
      </w:pPr>
      <w:r>
        <w:rPr>
          <w:b/>
        </w:rPr>
        <w:t>Possible Approach:</w:t>
      </w:r>
    </w:p>
    <w:p w14:paraId="5BE9E219" w14:textId="77777777" w:rsidR="00F21BF1" w:rsidRDefault="00000000">
      <w:r>
        <w:t>Candidates could examine the role of weathering in tropical landscape development alongside other geomorphic processes. They may consider how the processes operate together and which has the greater influence on landform change.</w:t>
      </w:r>
    </w:p>
    <w:p w14:paraId="3693BAF0" w14:textId="77777777" w:rsidR="00F21BF1" w:rsidRDefault="00000000">
      <w:r>
        <w:t>Candidates could judge whether weathering is dominant in some tropical environments more than others, drawing on differences in climate, relief or geology. Relevant examples may support the comparison.</w:t>
      </w:r>
    </w:p>
    <w:sectPr w:rsidR="00F21BF1" w:rsidSect="00034616">
      <w:pgSz w:w="11909" w:h="16834"/>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9852" w14:textId="77777777" w:rsidR="00044B36" w:rsidRDefault="00044B36">
      <w:pPr>
        <w:spacing w:after="0" w:line="240" w:lineRule="auto"/>
      </w:pPr>
      <w:r>
        <w:separator/>
      </w:r>
    </w:p>
  </w:endnote>
  <w:endnote w:type="continuationSeparator" w:id="0">
    <w:p w14:paraId="5B050CA7" w14:textId="77777777" w:rsidR="00044B36" w:rsidRDefault="00044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2D31" w14:textId="77777777" w:rsidR="00044B36" w:rsidRDefault="00044B36">
      <w:pPr>
        <w:spacing w:after="0" w:line="240" w:lineRule="auto"/>
      </w:pPr>
      <w:r>
        <w:separator/>
      </w:r>
    </w:p>
  </w:footnote>
  <w:footnote w:type="continuationSeparator" w:id="0">
    <w:p w14:paraId="1F0980FD" w14:textId="77777777" w:rsidR="00044B36" w:rsidRDefault="00044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774281">
    <w:abstractNumId w:val="8"/>
  </w:num>
  <w:num w:numId="2" w16cid:durableId="1019893578">
    <w:abstractNumId w:val="6"/>
  </w:num>
  <w:num w:numId="3" w16cid:durableId="1948733175">
    <w:abstractNumId w:val="5"/>
  </w:num>
  <w:num w:numId="4" w16cid:durableId="2019581829">
    <w:abstractNumId w:val="4"/>
  </w:num>
  <w:num w:numId="5" w16cid:durableId="50154094">
    <w:abstractNumId w:val="7"/>
  </w:num>
  <w:num w:numId="6" w16cid:durableId="763308091">
    <w:abstractNumId w:val="3"/>
  </w:num>
  <w:num w:numId="7" w16cid:durableId="416754844">
    <w:abstractNumId w:val="2"/>
  </w:num>
  <w:num w:numId="8" w16cid:durableId="1723946670">
    <w:abstractNumId w:val="1"/>
  </w:num>
  <w:num w:numId="9" w16cid:durableId="37539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36"/>
    <w:rsid w:val="0006063C"/>
    <w:rsid w:val="0015074B"/>
    <w:rsid w:val="00170A3F"/>
    <w:rsid w:val="0029639D"/>
    <w:rsid w:val="00326F90"/>
    <w:rsid w:val="005B5019"/>
    <w:rsid w:val="00A239B7"/>
    <w:rsid w:val="00AA1D8D"/>
    <w:rsid w:val="00B47730"/>
    <w:rsid w:val="00C6640C"/>
    <w:rsid w:val="00CB0664"/>
    <w:rsid w:val="00E27DED"/>
    <w:rsid w:val="00F21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C22CF6"/>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1541</Words>
  <Characters>8787</Characters>
  <Application>Microsoft Office Word</Application>
  <DocSecurity>0</DocSecurity>
  <Lines>73</Lines>
  <Paragraphs>20</Paragraphs>
  <ScaleCrop>false</ScaleCrop>
  <Manager/>
  <Company/>
  <LinksUpToDate>false</LinksUpToDate>
  <CharactersWithSpaces>10308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2026-09-27T06:24:00Z</dcterms:created>
  <dcterms:modified xsi:type="dcterms:W3CDTF">2026-09-27T06:25:00Z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2026-09-27T06:25:05Z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8705aa64-a8cb-4bac-93c9-3939397395d2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