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H1 Structured Questions by Topic – Review Notes — v0.10</w:t>
      </w:r>
    </w:p>
    <w:p>
      <w:r>
        <w:rPr>
          <w:i/>
          <w:color w:val="595959"/>
          <w:sz w:val="18"/>
        </w:rPr>
        <w:t>Topics follow the SEAB syllabus: H1 Geography 8834 (2026) and H2 Geography 9173 (2026).</w:t>
      </w:r>
    </w:p>
    <w:p>
      <w:r>
        <w:rPr>
          <w:i/>
          <w:color w:val="595959"/>
          <w:sz w:val="18"/>
        </w:rPr>
        <w:t>Companion to: 2b H1 Structured Questions by Topic v0.10.docx</w:t>
      </w:r>
    </w:p>
    <w:p>
      <w:pPr>
        <w:pStyle w:val="Heading1"/>
      </w:pPr>
      <w:r>
        <w:t>1. What this doc is and how it was built</w:t>
      </w:r>
    </w:p>
    <w:p>
      <w:pPr>
        <w:pStyle w:val="ListBullet"/>
      </w:pPr>
      <w:r>
        <w:t>All H1 Section B structured questions (Q2 and Q3, 22 marks each): 82 questions from 41 school-years, with 266 diagrams (204 pages, 28 MB).</w:t>
      </w:r>
    </w:p>
    <w:p>
      <w:pPr>
        <w:pStyle w:val="ListBullet"/>
      </w:pPr>
      <w:r>
        <w:t>Grouped under Cluster 1 by syllabus topic: 1.1 Cities in a Sustainable Future (43) and 1.2 The Future with Climate Change (39), then by school and year.</w:t>
      </w:r>
    </w:p>
    <w:p>
      <w:pPr>
        <w:pStyle w:val="ListBullet"/>
      </w:pPr>
      <w:r>
        <w:t>Under each question heading, a 'Syllabus' line lists every key question its parts test, most marks first. These are the same key questions as in doc 1.</w:t>
      </w:r>
    </w:p>
    <w:p>
      <w:pPr>
        <w:pStyle w:val="ListBullet"/>
      </w:pPr>
      <w:r>
        <w:t>Question wording is typed from each school's question paper; diagrams are cropped from the school's Insert.</w:t>
      </w:r>
    </w:p>
    <w:p>
      <w:pPr>
        <w:pStyle w:val="ListBullet"/>
      </w:pPr>
      <w:r>
        <w:t>Checks run on every question: part labels in order, marks add up to 22, and labels and marks match the reading notes (all 82 match). Every diagram was checked by eye.</w:t>
      </w:r>
    </w:p>
    <w:p>
      <w:pPr>
        <w:pStyle w:val="ListBullet"/>
      </w:pPr>
      <w:r>
        <w:t>Changes from v0.8: NJC 2026 Q3 now shows the whole of Resource 9 and the correct Resource 10 (v0.8 split R9 in two because of a hidden 'Resource 10' label in the Insert, and left out the real R10 map). ASRJC 2024 Q3 'Co- operation' now reads 'Co-operation'.</w:t>
      </w:r>
    </w:p>
    <w:p>
      <w:pPr>
        <w:pStyle w:val="Heading1"/>
      </w:pPr>
      <w:r>
        <w:t>2. Assumptions</w:t>
      </w:r>
    </w:p>
    <w:p>
      <w:pPr>
        <w:pStyle w:val="ListBullet"/>
      </w:pPr>
      <w:r>
        <w:t>A question is filed under the topic with the most marks. The notes list each question's key questions by marks. For the 8 questions that test both topics, I counted marks part by part; all 8 agree with the first-listed key question (see section 3).</w:t>
      </w:r>
    </w:p>
    <w:p>
      <w:pPr>
        <w:pStyle w:val="ListBullet"/>
      </w:pPr>
      <w:r>
        <w:t>Diagrams for a question are the resources its wording refers to, not the Insert's 'for Question N' labels, because a few of those labels are wrong.</w:t>
      </w:r>
    </w:p>
    <w:p>
      <w:pPr>
        <w:pStyle w:val="ListBullet"/>
      </w:pPr>
      <w:r>
        <w:t>Word files were converted to PDF with LibreOffice before extracting text and cropping, so line breaks and spacing can differ slightly from the printed paper.</w:t>
      </w:r>
    </w:p>
    <w:p>
      <w:pPr>
        <w:pStyle w:val="ListBullet"/>
      </w:pPr>
      <w:r>
        <w:t>Pages printed sideways (landscape) in an Insert are turned upright.</w:t>
      </w:r>
    </w:p>
    <w:p>
      <w:pPr>
        <w:pStyle w:val="ListBullet"/>
      </w:pPr>
      <w:r>
        <w:t>Three diagrams were rebuilt from the school's Word file because the PDF conversion lost or mangled them: EJC 2024 R7A/7B (maps missing) and TJC 2026 R5 and R9 (shown sideways). For TJC 2026, the heading above the picture is retyped.</w:t>
      </w:r>
    </w:p>
    <w:p>
      <w:pPr>
        <w:pStyle w:val="ListBullet"/>
      </w:pPr>
      <w:r>
        <w:t>The section line is standardised to 'Section B — Cluster 1: Sustainable Future and Climate Change'.</w:t>
      </w:r>
    </w:p>
    <w:p>
      <w:pPr>
        <w:pStyle w:val="ListBullet"/>
      </w:pPr>
      <w:r>
        <w:t>Diagrams are compressed (max 1300 px, JPEG or 256-colour PNG). Fine print in dense tables may be slightly softer than the original.</w:t>
      </w:r>
    </w:p>
    <w:p>
      <w:pPr>
        <w:pStyle w:val="ListBullet"/>
      </w:pPr>
      <w:r>
        <w:t>VJC 2026 is left out (password-protected question paper). MI 2026, NJC 2024 and RVHS 2024–2026 have no H1 paper.</w:t>
      </w:r>
    </w:p>
    <w:p>
      <w:pPr>
        <w:pStyle w:val="Heading1"/>
      </w:pPr>
      <w:r>
        <w:t>3. To review: questions that test both topics</w:t>
      </w:r>
    </w:p>
    <w:p>
      <w:r>
        <w:rPr>
          <w:i/>
          <w:color w:val="595959"/>
          <w:sz w:val="18"/>
        </w:rPr>
        <w:t>Marks counted part by part. Each question is filed under the topic with more marks.</w:t>
      </w:r>
    </w:p>
    <w:tbl>
      <w:tblPr>
        <w:tblStyle w:val="TableGrid"/>
        <w:tblW w:type="auto" w:w="0"/>
        <w:tblLook w:firstColumn="1" w:firstRow="1" w:lastColumn="0" w:lastRow="0" w:noHBand="0" w:noVBand="1" w:val="04A0"/>
      </w:tblPr>
      <w:tblGrid>
        <w:gridCol w:w="2551"/>
        <w:gridCol w:w="2551"/>
        <w:gridCol w:w="2551"/>
        <w:gridCol w:w="2551"/>
      </w:tblGrid>
      <w:tr>
        <w:trPr>
          <w:tblHeader w:val="true"/>
        </w:trPr>
        <w:tc>
          <w:tcPr>
            <w:tcW w:type="dxa" w:w="2551"/>
            <w:shd w:val="clear" w:color="auto" w:fill="D9E2F3"/>
          </w:tcPr>
          <w:p>
            <w:pPr>
              <w:spacing w:after="20"/>
            </w:pPr>
            <w:r/>
            <w:r>
              <w:rPr>
                <w:b/>
                <w:sz w:val="18"/>
              </w:rPr>
              <w:t>Question</w:t>
            </w:r>
          </w:p>
        </w:tc>
        <w:tc>
          <w:tcPr>
            <w:tcW w:type="dxa" w:w="2551"/>
            <w:shd w:val="clear" w:color="auto" w:fill="D9E2F3"/>
          </w:tcPr>
          <w:p>
            <w:pPr>
              <w:spacing w:after="20"/>
            </w:pPr>
            <w:r/>
            <w:r>
              <w:rPr>
                <w:b/>
                <w:sz w:val="18"/>
              </w:rPr>
              <w:t>Marks: 1.1 / 1.2</w:t>
            </w:r>
          </w:p>
        </w:tc>
        <w:tc>
          <w:tcPr>
            <w:tcW w:type="dxa" w:w="2551"/>
            <w:shd w:val="clear" w:color="auto" w:fill="D9E2F3"/>
          </w:tcPr>
          <w:p>
            <w:pPr>
              <w:spacing w:after="20"/>
            </w:pPr>
            <w:r/>
            <w:r>
              <w:rPr>
                <w:b/>
                <w:sz w:val="18"/>
              </w:rPr>
              <w:t>Filed under</w:t>
            </w:r>
          </w:p>
        </w:tc>
        <w:tc>
          <w:tcPr>
            <w:tcW w:type="dxa" w:w="2551"/>
            <w:shd w:val="clear" w:color="auto" w:fill="D9E2F3"/>
          </w:tcPr>
          <w:p>
            <w:pPr>
              <w:spacing w:after="20"/>
            </w:pPr>
            <w:r/>
            <w:r>
              <w:rPr>
                <w:b/>
                <w:sz w:val="18"/>
              </w:rPr>
              <w:t>Your decision</w:t>
            </w:r>
          </w:p>
        </w:tc>
      </w:tr>
      <w:tr>
        <w:tc>
          <w:tcPr>
            <w:tcW w:type="dxa" w:w="2551"/>
          </w:tcPr>
          <w:p>
            <w:pPr>
              <w:spacing w:after="20"/>
            </w:pPr>
            <w:r/>
            <w:r>
              <w:rPr>
                <w:b w:val="0"/>
                <w:sz w:val="18"/>
              </w:rPr>
              <w:t>EJC 2024 Q3 (Mumbai slums, women)</w:t>
            </w:r>
          </w:p>
        </w:tc>
        <w:tc>
          <w:tcPr>
            <w:tcW w:type="dxa" w:w="2551"/>
          </w:tcPr>
          <w:p>
            <w:pPr>
              <w:spacing w:after="20"/>
            </w:pPr>
            <w:r/>
            <w:r>
              <w:rPr>
                <w:b w:val="0"/>
                <w:sz w:val="18"/>
              </w:rPr>
              <w:t>18 / 4</w:t>
            </w:r>
          </w:p>
        </w:tc>
        <w:tc>
          <w:tcPr>
            <w:tcW w:type="dxa" w:w="2551"/>
          </w:tcPr>
          <w:p>
            <w:pPr>
              <w:spacing w:after="20"/>
            </w:pPr>
            <w:r/>
            <w:r>
              <w:rPr>
                <w:b w:val="0"/>
                <w:sz w:val="18"/>
              </w:rPr>
              <w:t>1.1</w:t>
            </w:r>
          </w:p>
        </w:tc>
        <w:tc>
          <w:tcPr>
            <w:tcW w:type="dxa" w:w="2551"/>
          </w:tcPr>
          <w:p>
            <w:pPr>
              <w:spacing w:after="20"/>
            </w:pPr>
            <w:r/>
            <w:r>
              <w:rPr>
                <w:b w:val="0"/>
                <w:sz w:val="18"/>
              </w:rPr>
            </w:r>
          </w:p>
        </w:tc>
      </w:tr>
      <w:tr>
        <w:tc>
          <w:tcPr>
            <w:tcW w:type="dxa" w:w="2551"/>
          </w:tcPr>
          <w:p>
            <w:pPr>
              <w:spacing w:after="20"/>
            </w:pPr>
            <w:r/>
            <w:r>
              <w:rPr>
                <w:b w:val="0"/>
                <w:sz w:val="18"/>
              </w:rPr>
              <w:t>TMJC 2024 Q3 (waste, landfill emissions)</w:t>
            </w:r>
          </w:p>
        </w:tc>
        <w:tc>
          <w:tcPr>
            <w:tcW w:type="dxa" w:w="2551"/>
          </w:tcPr>
          <w:p>
            <w:pPr>
              <w:spacing w:after="20"/>
            </w:pPr>
            <w:r/>
            <w:r>
              <w:rPr>
                <w:b w:val="0"/>
                <w:sz w:val="18"/>
              </w:rPr>
              <w:t>12 / 10</w:t>
            </w:r>
          </w:p>
        </w:tc>
        <w:tc>
          <w:tcPr>
            <w:tcW w:type="dxa" w:w="2551"/>
          </w:tcPr>
          <w:p>
            <w:pPr>
              <w:spacing w:after="20"/>
            </w:pPr>
            <w:r/>
            <w:r>
              <w:rPr>
                <w:b w:val="0"/>
                <w:sz w:val="18"/>
              </w:rPr>
              <w:t>1.1</w:t>
            </w:r>
          </w:p>
        </w:tc>
        <w:tc>
          <w:tcPr>
            <w:tcW w:type="dxa" w:w="2551"/>
          </w:tcPr>
          <w:p>
            <w:pPr>
              <w:spacing w:after="20"/>
            </w:pPr>
            <w:r/>
            <w:r>
              <w:rPr>
                <w:b w:val="0"/>
                <w:sz w:val="18"/>
              </w:rPr>
            </w:r>
          </w:p>
        </w:tc>
      </w:tr>
      <w:tr>
        <w:tc>
          <w:tcPr>
            <w:tcW w:type="dxa" w:w="2551"/>
          </w:tcPr>
          <w:p>
            <w:pPr>
              <w:spacing w:after="20"/>
            </w:pPr>
            <w:r/>
            <w:r>
              <w:rPr>
                <w:b w:val="0"/>
                <w:sz w:val="18"/>
              </w:rPr>
              <w:t>CJC 2025 Q2 (liveability, CC impact)</w:t>
            </w:r>
          </w:p>
        </w:tc>
        <w:tc>
          <w:tcPr>
            <w:tcW w:type="dxa" w:w="2551"/>
          </w:tcPr>
          <w:p>
            <w:pPr>
              <w:spacing w:after="20"/>
            </w:pPr>
            <w:r/>
            <w:r>
              <w:rPr>
                <w:b w:val="0"/>
                <w:sz w:val="18"/>
              </w:rPr>
              <w:t>16 / 6</w:t>
            </w:r>
          </w:p>
        </w:tc>
        <w:tc>
          <w:tcPr>
            <w:tcW w:type="dxa" w:w="2551"/>
          </w:tcPr>
          <w:p>
            <w:pPr>
              <w:spacing w:after="20"/>
            </w:pPr>
            <w:r/>
            <w:r>
              <w:rPr>
                <w:b w:val="0"/>
                <w:sz w:val="18"/>
              </w:rPr>
              <w:t>1.1</w:t>
            </w:r>
          </w:p>
        </w:tc>
        <w:tc>
          <w:tcPr>
            <w:tcW w:type="dxa" w:w="2551"/>
          </w:tcPr>
          <w:p>
            <w:pPr>
              <w:spacing w:after="20"/>
            </w:pPr>
            <w:r/>
            <w:r>
              <w:rPr>
                <w:b w:val="0"/>
                <w:sz w:val="18"/>
              </w:rPr>
            </w:r>
          </w:p>
        </w:tc>
      </w:tr>
      <w:tr>
        <w:tc>
          <w:tcPr>
            <w:tcW w:type="dxa" w:w="2551"/>
          </w:tcPr>
          <w:p>
            <w:pPr>
              <w:spacing w:after="20"/>
            </w:pPr>
            <w:r/>
            <w:r>
              <w:rPr>
                <w:b w:val="0"/>
                <w:sz w:val="18"/>
              </w:rPr>
              <w:t>NJC 2025 Q2 (liveability, Copenhagen)</w:t>
            </w:r>
          </w:p>
        </w:tc>
        <w:tc>
          <w:tcPr>
            <w:tcW w:type="dxa" w:w="2551"/>
          </w:tcPr>
          <w:p>
            <w:pPr>
              <w:spacing w:after="20"/>
            </w:pPr>
            <w:r/>
            <w:r>
              <w:rPr>
                <w:b w:val="0"/>
                <w:sz w:val="18"/>
              </w:rPr>
              <w:t>18 / 4</w:t>
            </w:r>
          </w:p>
        </w:tc>
        <w:tc>
          <w:tcPr>
            <w:tcW w:type="dxa" w:w="2551"/>
          </w:tcPr>
          <w:p>
            <w:pPr>
              <w:spacing w:after="20"/>
            </w:pPr>
            <w:r/>
            <w:r>
              <w:rPr>
                <w:b w:val="0"/>
                <w:sz w:val="18"/>
              </w:rPr>
              <w:t>1.1</w:t>
            </w:r>
          </w:p>
        </w:tc>
        <w:tc>
          <w:tcPr>
            <w:tcW w:type="dxa" w:w="2551"/>
          </w:tcPr>
          <w:p>
            <w:pPr>
              <w:spacing w:after="20"/>
            </w:pPr>
            <w:r/>
            <w:r>
              <w:rPr>
                <w:b w:val="0"/>
                <w:sz w:val="18"/>
              </w:rPr>
            </w:r>
          </w:p>
        </w:tc>
      </w:tr>
      <w:tr>
        <w:tc>
          <w:tcPr>
            <w:tcW w:type="dxa" w:w="2551"/>
          </w:tcPr>
          <w:p>
            <w:pPr>
              <w:spacing w:after="20"/>
            </w:pPr>
            <w:r/>
            <w:r>
              <w:rPr>
                <w:b w:val="0"/>
                <w:sz w:val="18"/>
              </w:rPr>
              <w:t>DHS 2026 Q3 (urbanisation, slum vulnerability)</w:t>
            </w:r>
          </w:p>
        </w:tc>
        <w:tc>
          <w:tcPr>
            <w:tcW w:type="dxa" w:w="2551"/>
          </w:tcPr>
          <w:p>
            <w:pPr>
              <w:spacing w:after="20"/>
            </w:pPr>
            <w:r/>
            <w:r>
              <w:rPr>
                <w:b w:val="0"/>
                <w:sz w:val="18"/>
              </w:rPr>
              <w:t>13 / 9</w:t>
            </w:r>
          </w:p>
        </w:tc>
        <w:tc>
          <w:tcPr>
            <w:tcW w:type="dxa" w:w="2551"/>
          </w:tcPr>
          <w:p>
            <w:pPr>
              <w:spacing w:after="20"/>
            </w:pPr>
            <w:r/>
            <w:r>
              <w:rPr>
                <w:b w:val="0"/>
                <w:sz w:val="18"/>
              </w:rPr>
              <w:t>1.1</w:t>
            </w:r>
          </w:p>
        </w:tc>
        <w:tc>
          <w:tcPr>
            <w:tcW w:type="dxa" w:w="2551"/>
          </w:tcPr>
          <w:p>
            <w:pPr>
              <w:spacing w:after="20"/>
            </w:pPr>
            <w:r/>
            <w:r>
              <w:rPr>
                <w:b w:val="0"/>
                <w:sz w:val="18"/>
              </w:rPr>
            </w:r>
          </w:p>
        </w:tc>
      </w:tr>
      <w:tr>
        <w:tc>
          <w:tcPr>
            <w:tcW w:type="dxa" w:w="2551"/>
          </w:tcPr>
          <w:p>
            <w:pPr>
              <w:spacing w:after="20"/>
            </w:pPr>
            <w:r/>
            <w:r>
              <w:rPr>
                <w:b w:val="0"/>
                <w:sz w:val="18"/>
              </w:rPr>
              <w:t>RI 2026 Q2 (gender, reimaging, adaptation)</w:t>
            </w:r>
          </w:p>
        </w:tc>
        <w:tc>
          <w:tcPr>
            <w:tcW w:type="dxa" w:w="2551"/>
          </w:tcPr>
          <w:p>
            <w:pPr>
              <w:spacing w:after="20"/>
            </w:pPr>
            <w:r/>
            <w:r>
              <w:rPr>
                <w:b w:val="0"/>
                <w:sz w:val="18"/>
              </w:rPr>
              <w:t>16 / 6</w:t>
            </w:r>
          </w:p>
        </w:tc>
        <w:tc>
          <w:tcPr>
            <w:tcW w:type="dxa" w:w="2551"/>
          </w:tcPr>
          <w:p>
            <w:pPr>
              <w:spacing w:after="20"/>
            </w:pPr>
            <w:r/>
            <w:r>
              <w:rPr>
                <w:b w:val="0"/>
                <w:sz w:val="18"/>
              </w:rPr>
              <w:t>1.1</w:t>
            </w:r>
          </w:p>
        </w:tc>
        <w:tc>
          <w:tcPr>
            <w:tcW w:type="dxa" w:w="2551"/>
          </w:tcPr>
          <w:p>
            <w:pPr>
              <w:spacing w:after="20"/>
            </w:pPr>
            <w:r/>
            <w:r>
              <w:rPr>
                <w:b w:val="0"/>
                <w:sz w:val="18"/>
              </w:rPr>
            </w:r>
          </w:p>
        </w:tc>
      </w:tr>
      <w:tr>
        <w:tc>
          <w:tcPr>
            <w:tcW w:type="dxa" w:w="2551"/>
          </w:tcPr>
          <w:p>
            <w:pPr>
              <w:spacing w:after="20"/>
            </w:pPr>
            <w:r/>
            <w:r>
              <w:rPr>
                <w:b w:val="0"/>
                <w:sz w:val="18"/>
              </w:rPr>
              <w:t>TMJC 2026 Q3 (Singapore temperature, rooftop gardens)</w:t>
            </w:r>
          </w:p>
        </w:tc>
        <w:tc>
          <w:tcPr>
            <w:tcW w:type="dxa" w:w="2551"/>
          </w:tcPr>
          <w:p>
            <w:pPr>
              <w:spacing w:after="20"/>
            </w:pPr>
            <w:r/>
            <w:r>
              <w:rPr>
                <w:b w:val="0"/>
                <w:sz w:val="18"/>
              </w:rPr>
              <w:t>8 / 14</w:t>
            </w:r>
          </w:p>
        </w:tc>
        <w:tc>
          <w:tcPr>
            <w:tcW w:type="dxa" w:w="2551"/>
          </w:tcPr>
          <w:p>
            <w:pPr>
              <w:spacing w:after="20"/>
            </w:pPr>
            <w:r/>
            <w:r>
              <w:rPr>
                <w:b w:val="0"/>
                <w:sz w:val="18"/>
              </w:rPr>
              <w:t>1.2</w:t>
            </w:r>
          </w:p>
        </w:tc>
        <w:tc>
          <w:tcPr>
            <w:tcW w:type="dxa" w:w="2551"/>
          </w:tcPr>
          <w:p>
            <w:pPr>
              <w:spacing w:after="20"/>
            </w:pPr>
            <w:r/>
            <w:r>
              <w:rPr>
                <w:b w:val="0"/>
                <w:sz w:val="18"/>
              </w:rPr>
            </w:r>
          </w:p>
        </w:tc>
      </w:tr>
      <w:tr>
        <w:tc>
          <w:tcPr>
            <w:tcW w:type="dxa" w:w="2551"/>
          </w:tcPr>
          <w:p>
            <w:pPr>
              <w:spacing w:after="20"/>
            </w:pPr>
            <w:r/>
            <w:r>
              <w:rPr>
                <w:b w:val="0"/>
                <w:sz w:val="18"/>
              </w:rPr>
              <w:t>YIJC 2026 Q2 (plastic waste, CC)</w:t>
            </w:r>
          </w:p>
        </w:tc>
        <w:tc>
          <w:tcPr>
            <w:tcW w:type="dxa" w:w="2551"/>
          </w:tcPr>
          <w:p>
            <w:pPr>
              <w:spacing w:after="20"/>
            </w:pPr>
            <w:r/>
            <w:r>
              <w:rPr>
                <w:b w:val="0"/>
                <w:sz w:val="18"/>
              </w:rPr>
              <w:t>18 / 4</w:t>
            </w:r>
          </w:p>
        </w:tc>
        <w:tc>
          <w:tcPr>
            <w:tcW w:type="dxa" w:w="2551"/>
          </w:tcPr>
          <w:p>
            <w:pPr>
              <w:spacing w:after="20"/>
            </w:pPr>
            <w:r/>
            <w:r>
              <w:rPr>
                <w:b w:val="0"/>
                <w:sz w:val="18"/>
              </w:rPr>
              <w:t>1.1</w:t>
            </w:r>
          </w:p>
        </w:tc>
        <w:tc>
          <w:tcPr>
            <w:tcW w:type="dxa" w:w="2551"/>
          </w:tcPr>
          <w:p>
            <w:pPr>
              <w:spacing w:after="20"/>
            </w:pPr>
            <w:r/>
            <w:r>
              <w:rPr>
                <w:b w:val="0"/>
                <w:sz w:val="18"/>
              </w:rPr>
            </w:r>
          </w:p>
        </w:tc>
      </w:tr>
    </w:tbl>
    <w:p>
      <w:pPr>
        <w:pStyle w:val="Heading1"/>
      </w:pPr>
      <w:r>
        <w:t>4. To review: text and layout</w:t>
      </w:r>
    </w:p>
    <w:p>
      <w:r>
        <w:rPr>
          <w:i/>
          <w:color w:val="595959"/>
          <w:sz w:val="18"/>
        </w:rPr>
        <w:t>Places where the typed question text or a cropped diagram is not a perfect copy of the paper.</w:t>
      </w:r>
    </w:p>
    <w:tbl>
      <w:tblPr>
        <w:tblStyle w:val="TableGrid"/>
        <w:tblW w:type="auto" w:w="0"/>
        <w:tblLook w:firstColumn="1" w:firstRow="1" w:lastColumn="0" w:lastRow="0" w:noHBand="0" w:noVBand="1" w:val="04A0"/>
      </w:tblPr>
      <w:tblGrid>
        <w:gridCol w:w="3402"/>
        <w:gridCol w:w="3402"/>
        <w:gridCol w:w="3402"/>
      </w:tblGrid>
      <w:tr>
        <w:trPr>
          <w:tblHeader w:val="true"/>
        </w:trPr>
        <w:tc>
          <w:tcPr>
            <w:tcW w:type="dxa" w:w="3402"/>
            <w:shd w:val="clear" w:color="auto" w:fill="D9E2F3"/>
          </w:tcPr>
          <w:p>
            <w:pPr>
              <w:spacing w:after="20"/>
            </w:pPr>
            <w:r/>
            <w:r>
              <w:rPr>
                <w:b/>
                <w:sz w:val="18"/>
              </w:rPr>
              <w:t>School &amp; Year</w:t>
            </w:r>
          </w:p>
        </w:tc>
        <w:tc>
          <w:tcPr>
            <w:tcW w:type="dxa" w:w="3402"/>
            <w:shd w:val="clear" w:color="auto" w:fill="D9E2F3"/>
          </w:tcPr>
          <w:p>
            <w:pPr>
              <w:spacing w:after="20"/>
            </w:pPr>
            <w:r/>
            <w:r>
              <w:rPr>
                <w:b/>
                <w:sz w:val="18"/>
              </w:rPr>
              <w:t>What to check</w:t>
            </w:r>
          </w:p>
        </w:tc>
        <w:tc>
          <w:tcPr>
            <w:tcW w:type="dxa" w:w="3402"/>
            <w:shd w:val="clear" w:color="auto" w:fill="D9E2F3"/>
          </w:tcPr>
          <w:p>
            <w:pPr>
              <w:spacing w:after="20"/>
            </w:pPr>
            <w:r/>
            <w:r>
              <w:rPr>
                <w:b/>
                <w:sz w:val="18"/>
              </w:rPr>
              <w:t>Your decision</w:t>
            </w:r>
          </w:p>
        </w:tc>
      </w:tr>
      <w:tr>
        <w:tc>
          <w:tcPr>
            <w:tcW w:type="dxa" w:w="3402"/>
          </w:tcPr>
          <w:p>
            <w:pPr>
              <w:spacing w:after="20"/>
            </w:pPr>
            <w:r/>
            <w:r>
              <w:rPr>
                <w:b w:val="0"/>
                <w:sz w:val="18"/>
              </w:rPr>
              <w:t>YIJC 2024 Q2</w:t>
            </w:r>
          </w:p>
        </w:tc>
        <w:tc>
          <w:tcPr>
            <w:tcW w:type="dxa" w:w="3402"/>
          </w:tcPr>
          <w:p>
            <w:pPr>
              <w:spacing w:after="20"/>
            </w:pPr>
            <w:r/>
            <w:r>
              <w:rPr>
                <w:b w:val="0"/>
                <w:sz w:val="18"/>
              </w:rPr>
              <w:t>The stem reads 'creative industry parks ( )': the brackets hold a map symbol in the paper, which can't be typed.</w:t>
            </w:r>
          </w:p>
        </w:tc>
        <w:tc>
          <w:tcPr>
            <w:tcW w:type="dxa" w:w="3402"/>
          </w:tcPr>
          <w:p>
            <w:pPr>
              <w:spacing w:after="20"/>
            </w:pPr>
            <w:r/>
            <w:r>
              <w:rPr>
                <w:b w:val="0"/>
                <w:sz w:val="18"/>
              </w:rPr>
            </w:r>
          </w:p>
        </w:tc>
      </w:tr>
      <w:tr>
        <w:tc>
          <w:tcPr>
            <w:tcW w:type="dxa" w:w="3402"/>
          </w:tcPr>
          <w:p>
            <w:pPr>
              <w:spacing w:after="20"/>
            </w:pPr>
            <w:r/>
            <w:r>
              <w:rPr>
                <w:b w:val="0"/>
                <w:sz w:val="18"/>
              </w:rPr>
              <w:t>TJC 2026 R5, R9</w:t>
            </w:r>
          </w:p>
        </w:tc>
        <w:tc>
          <w:tcPr>
            <w:tcW w:type="dxa" w:w="3402"/>
          </w:tcPr>
          <w:p>
            <w:pPr>
              <w:spacing w:after="20"/>
            </w:pPr>
            <w:r/>
            <w:r>
              <w:rPr>
                <w:b w:val="0"/>
                <w:sz w:val="18"/>
              </w:rPr>
              <w:t>Rebuilt from the Word file; the two-line heading is retyped in a plain font.</w:t>
            </w:r>
          </w:p>
        </w:tc>
        <w:tc>
          <w:tcPr>
            <w:tcW w:type="dxa" w:w="3402"/>
          </w:tcPr>
          <w:p>
            <w:pPr>
              <w:spacing w:after="20"/>
            </w:pPr>
            <w:r/>
            <w:r>
              <w:rPr>
                <w:b w:val="0"/>
                <w:sz w:val="18"/>
              </w:rPr>
            </w:r>
          </w:p>
        </w:tc>
      </w:tr>
      <w:tr>
        <w:tc>
          <w:tcPr>
            <w:tcW w:type="dxa" w:w="3402"/>
          </w:tcPr>
          <w:p>
            <w:pPr>
              <w:spacing w:after="20"/>
            </w:pPr>
            <w:r/>
            <w:r>
              <w:rPr>
                <w:b w:val="0"/>
                <w:sz w:val="18"/>
              </w:rPr>
              <w:t>EJC 2024 R7A/7B</w:t>
            </w:r>
          </w:p>
        </w:tc>
        <w:tc>
          <w:tcPr>
            <w:tcW w:type="dxa" w:w="3402"/>
          </w:tcPr>
          <w:p>
            <w:pPr>
              <w:spacing w:after="20"/>
            </w:pPr>
            <w:r/>
            <w:r>
              <w:rPr>
                <w:b w:val="0"/>
                <w:sz w:val="18"/>
              </w:rPr>
              <w:t>Rebuilt: the heading strip is from the PDF (turned upright), the maps from the Word file.</w:t>
            </w:r>
          </w:p>
        </w:tc>
        <w:tc>
          <w:tcPr>
            <w:tcW w:type="dxa" w:w="3402"/>
          </w:tcPr>
          <w:p>
            <w:pPr>
              <w:spacing w:after="20"/>
            </w:pPr>
            <w:r/>
            <w:r>
              <w:rPr>
                <w:b w:val="0"/>
                <w:sz w:val="18"/>
              </w:rPr>
            </w:r>
          </w:p>
        </w:tc>
      </w:tr>
      <w:tr>
        <w:tc>
          <w:tcPr>
            <w:tcW w:type="dxa" w:w="3402"/>
          </w:tcPr>
          <w:p>
            <w:pPr>
              <w:spacing w:after="20"/>
            </w:pPr>
            <w:r/>
            <w:r>
              <w:rPr>
                <w:b w:val="0"/>
                <w:sz w:val="18"/>
              </w:rPr>
              <w:t>SAJC 2026 R6</w:t>
            </w:r>
          </w:p>
        </w:tc>
        <w:tc>
          <w:tcPr>
            <w:tcW w:type="dxa" w:w="3402"/>
          </w:tcPr>
          <w:p>
            <w:pPr>
              <w:spacing w:after="20"/>
            </w:pPr>
            <w:r/>
            <w:r>
              <w:rPr>
                <w:b w:val="0"/>
                <w:sz w:val="18"/>
              </w:rPr>
              <w:t>The heading overlaps the top of the photo, as in the PDF made from the Word file.</w:t>
            </w:r>
          </w:p>
        </w:tc>
        <w:tc>
          <w:tcPr>
            <w:tcW w:type="dxa" w:w="3402"/>
          </w:tcPr>
          <w:p>
            <w:pPr>
              <w:spacing w:after="20"/>
            </w:pPr>
            <w:r/>
            <w:r>
              <w:rPr>
                <w:b w:val="0"/>
                <w:sz w:val="18"/>
              </w:rPr>
            </w:r>
          </w:p>
        </w:tc>
      </w:tr>
      <w:tr>
        <w:tc>
          <w:tcPr>
            <w:tcW w:type="dxa" w:w="3402"/>
          </w:tcPr>
          <w:p>
            <w:pPr>
              <w:spacing w:after="20"/>
            </w:pPr>
            <w:r/>
            <w:r>
              <w:rPr>
                <w:b w:val="0"/>
                <w:sz w:val="18"/>
              </w:rPr>
              <w:t>DHS 2026 R4</w:t>
            </w:r>
          </w:p>
        </w:tc>
        <w:tc>
          <w:tcPr>
            <w:tcW w:type="dxa" w:w="3402"/>
          </w:tcPr>
          <w:p>
            <w:pPr>
              <w:spacing w:after="20"/>
            </w:pPr>
            <w:r/>
            <w:r>
              <w:rPr>
                <w:b w:val="0"/>
                <w:sz w:val="18"/>
              </w:rPr>
              <w:t>A black band and the page number show under the map (from the Word-to-PDF conversion).</w:t>
            </w:r>
          </w:p>
        </w:tc>
        <w:tc>
          <w:tcPr>
            <w:tcW w:type="dxa" w:w="3402"/>
          </w:tcPr>
          <w:p>
            <w:pPr>
              <w:spacing w:after="20"/>
            </w:pPr>
            <w:r/>
            <w:r>
              <w:rPr>
                <w:b w:val="0"/>
                <w:sz w:val="18"/>
              </w:rPr>
            </w:r>
          </w:p>
        </w:tc>
      </w:tr>
      <w:tr>
        <w:tc>
          <w:tcPr>
            <w:tcW w:type="dxa" w:w="3402"/>
          </w:tcPr>
          <w:p>
            <w:pPr>
              <w:spacing w:after="20"/>
            </w:pPr>
            <w:r/>
            <w:r>
              <w:rPr>
                <w:b w:val="0"/>
                <w:sz w:val="18"/>
              </w:rPr>
              <w:t>JPJC 2026 R8</w:t>
            </w:r>
          </w:p>
        </w:tc>
        <w:tc>
          <w:tcPr>
            <w:tcW w:type="dxa" w:w="3402"/>
          </w:tcPr>
          <w:p>
            <w:pPr>
              <w:spacing w:after="20"/>
            </w:pPr>
            <w:r/>
            <w:r>
              <w:rPr>
                <w:b w:val="0"/>
                <w:sz w:val="18"/>
              </w:rPr>
              <w:t>A grey margin shows on the right (left over from Word comment bubbles in the school's file).</w:t>
            </w:r>
          </w:p>
        </w:tc>
        <w:tc>
          <w:tcPr>
            <w:tcW w:type="dxa" w:w="3402"/>
          </w:tcPr>
          <w:p>
            <w:pPr>
              <w:spacing w:after="20"/>
            </w:pPr>
            <w:r/>
            <w:r>
              <w:rPr>
                <w:b w:val="0"/>
                <w:sz w:val="18"/>
              </w:rPr>
            </w:r>
          </w:p>
        </w:tc>
      </w:tr>
      <w:tr>
        <w:tc>
          <w:tcPr>
            <w:tcW w:type="dxa" w:w="3402"/>
          </w:tcPr>
          <w:p>
            <w:pPr>
              <w:spacing w:after="20"/>
            </w:pPr>
            <w:r/>
            <w:r>
              <w:rPr>
                <w:b w:val="0"/>
                <w:sz w:val="18"/>
              </w:rPr>
              <w:t>HCI 2026 R6, JPJC 2026 R4B, TMJC 2026 R9</w:t>
            </w:r>
          </w:p>
        </w:tc>
        <w:tc>
          <w:tcPr>
            <w:tcW w:type="dxa" w:w="3402"/>
          </w:tcPr>
          <w:p>
            <w:pPr>
              <w:spacing w:after="20"/>
            </w:pPr>
            <w:r/>
            <w:r>
              <w:rPr>
                <w:b w:val="0"/>
                <w:sz w:val="18"/>
              </w:rPr>
              <w:t>The crop still includes '[Turn over' or the school's page footer.</w:t>
            </w:r>
          </w:p>
        </w:tc>
        <w:tc>
          <w:tcPr>
            <w:tcW w:type="dxa" w:w="3402"/>
          </w:tcPr>
          <w:p>
            <w:pPr>
              <w:spacing w:after="20"/>
            </w:pPr>
            <w:r/>
            <w:r>
              <w:rPr>
                <w:b w:val="0"/>
                <w:sz w:val="18"/>
              </w:rPr>
            </w:r>
          </w:p>
        </w:tc>
      </w:tr>
    </w:tbl>
    <w:p>
      <w:pPr>
        <w:pStyle w:val="Heading1"/>
      </w:pPr>
      <w:r>
        <w:t>5. To consider</w:t>
      </w:r>
    </w:p>
    <w:p>
      <w:pPr>
        <w:pStyle w:val="ListBullet"/>
      </w:pPr>
      <w:r>
        <w:t>Group each topic further by key question (e.g. all 1.1.2b slum questions together). Many questions test several key questions, so this would either repeat questions or file each under its main key question only.</w:t>
      </w:r>
    </w:p>
    <w:p>
      <w:pPr>
        <w:pStyle w:val="ListBullet"/>
      </w:pPr>
      <w:r>
        <w:t>Start each school's question on a new page for printing.</w:t>
      </w:r>
    </w:p>
    <w:p>
      <w:pPr>
        <w:pStyle w:val="ListBullet"/>
      </w:pPr>
      <w:r>
        <w:t>Add a contents list at the start (school and year, with page numbers).</w:t>
      </w:r>
    </w:p>
    <w:p>
      <w:pPr>
        <w:pStyle w:val="ListBullet"/>
      </w:pPr>
      <w:r>
        <w:t>Use screenshots of the question paper instead of typed text, for an exact copy of the layout (larger file, not searchable).</w:t>
      </w:r>
    </w:p>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