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E1862" w14:textId="77777777" w:rsidR="00BD2938" w:rsidRDefault="00000000">
      <w:pPr>
        <w:pStyle w:val="Title"/>
      </w:pPr>
      <w:r>
        <w:t>2026 H2 Geography Paper 2 Mark Scheme</w:t>
      </w:r>
    </w:p>
    <w:p w14:paraId="0A58AB9F" w14:textId="77777777" w:rsidR="00BD2938" w:rsidRDefault="00000000">
      <w:pPr>
        <w:pStyle w:val="Heading1"/>
      </w:pPr>
      <w:r>
        <w:t xml:space="preserve">Section </w:t>
      </w:r>
      <w:proofErr w:type="gramStart"/>
      <w:r>
        <w:t>A  Fieldwork</w:t>
      </w:r>
      <w:proofErr w:type="gramEnd"/>
    </w:p>
    <w:p w14:paraId="06BCB90C" w14:textId="77777777" w:rsidR="00BD2938" w:rsidRDefault="00000000">
      <w:pPr>
        <w:pStyle w:val="Heading1"/>
      </w:pPr>
      <w:r>
        <w:t>Question 1  Community responses to climate change mitigation  40 marks</w:t>
      </w:r>
    </w:p>
    <w:p w14:paraId="1113C360" w14:textId="77777777" w:rsidR="00BD2938" w:rsidRDefault="00000000">
      <w:pPr>
        <w:pStyle w:val="Heading2"/>
      </w:pPr>
      <w:r>
        <w:t>1(a)  Explain one strength and one limitation of the students’ research question.  [3]</w:t>
      </w:r>
    </w:p>
    <w:p w14:paraId="3E3AEE53" w14:textId="77777777" w:rsidR="00BD2938" w:rsidRDefault="00000000">
      <w:pPr>
        <w:keepNext/>
      </w:pPr>
      <w:r>
        <w:rPr>
          <w:b/>
        </w:rPr>
        <w:t xml:space="preserve">Marking guidance: </w:t>
      </w:r>
      <w:r>
        <w:t>Credit an explained strength and limitation of the research question. Award up to 2 marks for a developed point and 1 mark for the other, to a maximum of 3.</w:t>
      </w:r>
    </w:p>
    <w:p w14:paraId="75D5C5AF" w14:textId="77777777" w:rsidR="00BD2938" w:rsidRDefault="00000000">
      <w:pPr>
        <w:pStyle w:val="ListBullet"/>
      </w:pPr>
      <w:r>
        <w:t>The comparison of two named areas is spatially focused, manageable and measurable using audits and surveys.</w:t>
      </w:r>
    </w:p>
    <w:p w14:paraId="250DBB1E" w14:textId="77777777" w:rsidR="00BD2938" w:rsidRDefault="00000000">
      <w:pPr>
        <w:pStyle w:val="ListBullet"/>
      </w:pPr>
      <w:r>
        <w:t>“Community responses” is broad and not defined; attitudes, stated behaviour and visible measures may lead to different conclusions. Credit other valid scope or feasibility issues.</w:t>
      </w:r>
    </w:p>
    <w:p w14:paraId="1AD04125" w14:textId="77777777" w:rsidR="00BD2938" w:rsidRDefault="00000000">
      <w:pPr>
        <w:pStyle w:val="Heading2"/>
      </w:pPr>
      <w:r>
        <w:t>1(b)  With reference to Resources 1 and 2, explain how the students could minimise potential risks and address ethical concerns when conducting the investigation.  [5]</w:t>
      </w:r>
    </w:p>
    <w:p w14:paraId="425FFAB6" w14:textId="77777777" w:rsidR="00BD2938" w:rsidRDefault="00000000">
      <w:pPr>
        <w:keepNext/>
      </w:pPr>
      <w:r>
        <w:rPr>
          <w:b/>
        </w:rPr>
        <w:t xml:space="preserve">Marking guidance: </w:t>
      </w:r>
      <w:r>
        <w:t>Award 1 mark for each relevant risk or ethical concern addressed; award additional marks for a specific measure and explanation linked to Resources 1 or 2, up to 5.</w:t>
      </w:r>
    </w:p>
    <w:p w14:paraId="772202E3" w14:textId="77777777" w:rsidR="00BD2938" w:rsidRDefault="00000000">
      <w:pPr>
        <w:pStyle w:val="ListBullet"/>
      </w:pPr>
      <w:r>
        <w:t>Road crossings, steep ground and observation near traffic require safe routes, appropriate footwear, working in pairs or other proportionate precautions.</w:t>
      </w:r>
    </w:p>
    <w:p w14:paraId="6ED5B872" w14:textId="77777777" w:rsidR="00BD2938" w:rsidRDefault="00000000">
      <w:pPr>
        <w:pStyle w:val="ListBullet"/>
      </w:pPr>
      <w:r>
        <w:t>Obtain informed voluntary consent for questionnaires; protect anonymity and privacy. Observe from public areas without entering property or photographing identifiable residents.</w:t>
      </w:r>
    </w:p>
    <w:p w14:paraId="1811E288" w14:textId="77777777" w:rsidR="00BD2938" w:rsidRDefault="00000000">
      <w:pPr>
        <w:pStyle w:val="Heading2"/>
      </w:pPr>
      <w:r>
        <w:t>1(c)  With reference to Resource 3, explain the limitations of the sampling method used by the students for the visual audit.  [5]</w:t>
      </w:r>
    </w:p>
    <w:p w14:paraId="012C2B4A" w14:textId="77777777" w:rsidR="00BD2938" w:rsidRDefault="00000000">
      <w:pPr>
        <w:keepNext/>
      </w:pPr>
      <w:r>
        <w:rPr>
          <w:b/>
        </w:rPr>
        <w:t xml:space="preserve">Marking guidance: </w:t>
      </w:r>
      <w:r>
        <w:t>Award 1 mark for each relevant limitation of the visual-audit sampling; award additional marks for its explained effect or precise reference to Resource 3, up to 5.</w:t>
      </w:r>
    </w:p>
    <w:p w14:paraId="16856BFC" w14:textId="77777777" w:rsidR="00BD2938" w:rsidRDefault="00000000">
      <w:pPr>
        <w:pStyle w:val="ListBullet"/>
      </w:pPr>
      <w:r>
        <w:t>Five sites along one transect in each area provide limited spatial coverage; sites are unevenly spaced and the selection basis is unclear.</w:t>
      </w:r>
    </w:p>
    <w:p w14:paraId="178C5B92" w14:textId="77777777" w:rsidR="00BD2938" w:rsidRDefault="00000000">
      <w:pPr>
        <w:pStyle w:val="ListBullet"/>
      </w:pPr>
      <w:r>
        <w:t>Different numbers of buildings were observed at sites, making raw counts harder to compare; express results as shares of buildings.</w:t>
      </w:r>
    </w:p>
    <w:p w14:paraId="7EA1B7C8" w14:textId="77777777" w:rsidR="00BD2938" w:rsidRDefault="00000000">
      <w:pPr>
        <w:pStyle w:val="ListBullet"/>
      </w:pPr>
      <w:r>
        <w:t>A street-level audit omits measures not visible from public pavements. Do not assume a systematic interval or claim that visibility alone is a sampling limitation without linking it to coverage.</w:t>
      </w:r>
    </w:p>
    <w:p w14:paraId="1D145DA5" w14:textId="77777777" w:rsidR="00BD2938" w:rsidRDefault="00000000">
      <w:pPr>
        <w:pStyle w:val="Heading2"/>
      </w:pPr>
      <w:r>
        <w:t>1(d)  Explain two other sources of secondary data that could help students achieve their investigation aim.  [2]</w:t>
      </w:r>
    </w:p>
    <w:p w14:paraId="3159470D" w14:textId="77777777" w:rsidR="00BD2938" w:rsidRDefault="00000000">
      <w:pPr>
        <w:keepNext/>
      </w:pPr>
      <w:r>
        <w:rPr>
          <w:b/>
        </w:rPr>
        <w:t xml:space="preserve">Marking guidance: </w:t>
      </w:r>
      <w:r>
        <w:t>Award 1 mark for each of two distinct secondary sources that can help meet the aim. A relevant use may clarify the source.</w:t>
      </w:r>
    </w:p>
    <w:p w14:paraId="49079BD5" w14:textId="77777777" w:rsidR="00BD2938" w:rsidRDefault="00000000">
      <w:pPr>
        <w:pStyle w:val="ListBullet"/>
      </w:pPr>
      <w:r>
        <w:t>Local council or planning records on retrofits; census data on housing or demographic context.</w:t>
      </w:r>
    </w:p>
    <w:p w14:paraId="43F2199D" w14:textId="77777777" w:rsidR="00BD2938" w:rsidRDefault="00000000">
      <w:pPr>
        <w:pStyle w:val="ListBullet"/>
      </w:pPr>
      <w:r>
        <w:t>Accept existing aerial imagery, transport data, energy-use data or other published datasets when linked to the investigation.</w:t>
      </w:r>
    </w:p>
    <w:p w14:paraId="39CD70B4" w14:textId="77777777" w:rsidR="00BD2938" w:rsidRDefault="00000000">
      <w:pPr>
        <w:pStyle w:val="Heading2"/>
      </w:pPr>
      <w:r>
        <w:t>1(e)  Explain the strengths and weaknesses of the survey questionnaire shown in Resource 4.  [5]</w:t>
      </w:r>
    </w:p>
    <w:p w14:paraId="19698CF9" w14:textId="77777777" w:rsidR="00BD2938" w:rsidRDefault="00000000">
      <w:pPr>
        <w:keepNext/>
      </w:pPr>
      <w:r>
        <w:rPr>
          <w:b/>
        </w:rPr>
        <w:t xml:space="preserve">Marking guidance: </w:t>
      </w:r>
      <w:r>
        <w:t>Award marks for explained strengths and weaknesses grounded in Resource 4; credit both sides, up to 5. Link each design feature to data quality or usefulness.</w:t>
      </w:r>
    </w:p>
    <w:p w14:paraId="0151EF4C" w14:textId="77777777" w:rsidR="00BD2938" w:rsidRDefault="00000000">
      <w:pPr>
        <w:pStyle w:val="ListBullet"/>
      </w:pPr>
      <w:r>
        <w:t>Consistent response scales and clearly grouped sections support comparison; the open question adds detail.</w:t>
      </w:r>
    </w:p>
    <w:p w14:paraId="3F55EAFC" w14:textId="77777777" w:rsidR="00BD2938" w:rsidRDefault="00000000">
      <w:pPr>
        <w:pStyle w:val="ListBullet"/>
      </w:pPr>
      <w:r>
        <w:t>Loaded or double-barrelled wording can bias responses; undefined frequency terms and self-reporting reduce accuracy.</w:t>
      </w:r>
    </w:p>
    <w:p w14:paraId="5E249E1D" w14:textId="77777777" w:rsidR="00BD2938" w:rsidRDefault="00000000">
      <w:pPr>
        <w:pStyle w:val="ListBullet"/>
      </w:pPr>
      <w:r>
        <w:t>Question 7 assumes car use, and Question 12 asks respondents to judge effectiveness they may not be able to measure.</w:t>
      </w:r>
    </w:p>
    <w:p w14:paraId="3DD2984D" w14:textId="77777777" w:rsidR="00BD2938" w:rsidRDefault="00000000">
      <w:pPr>
        <w:pStyle w:val="Heading2"/>
      </w:pPr>
      <w:r>
        <w:lastRenderedPageBreak/>
        <w:t>1(f)  Using Resource 5A, compare residents’ attitudes to climate-change mitigation in Clifton South and The Park Estate.  [5]</w:t>
      </w:r>
    </w:p>
    <w:p w14:paraId="53298CAD" w14:textId="77777777" w:rsidR="00BD2938" w:rsidRDefault="00000000">
      <w:pPr>
        <w:keepNext/>
      </w:pPr>
      <w:r>
        <w:rPr>
          <w:b/>
        </w:rPr>
        <w:t xml:space="preserve">Marking guidance: </w:t>
      </w:r>
      <w:r>
        <w:t>Award 1 mark for each relevant comparison; award additional marks for elaboration or accurate values from Resource 5A, up to 5.</w:t>
      </w:r>
    </w:p>
    <w:p w14:paraId="7C06A65B" w14:textId="77777777" w:rsidR="00BD2938" w:rsidRDefault="00000000">
      <w:pPr>
        <w:pStyle w:val="ListBullet"/>
      </w:pPr>
      <w:r>
        <w:t>Both areas give similarly high scores for the seriousness of climate change (4.5 and 4.4).</w:t>
      </w:r>
    </w:p>
    <w:p w14:paraId="2628E546" w14:textId="77777777" w:rsidR="00BD2938" w:rsidRDefault="00000000">
      <w:pPr>
        <w:pStyle w:val="ListBullet"/>
      </w:pPr>
      <w:r>
        <w:t>Clifton South scores slightly higher for household action (4.0 against 3.8) and more strongly for council support (3.6 against 2.8).</w:t>
      </w:r>
    </w:p>
    <w:p w14:paraId="09F07DC8" w14:textId="77777777" w:rsidR="00BD2938" w:rsidRDefault="00000000">
      <w:pPr>
        <w:pStyle w:val="ListBullet"/>
      </w:pPr>
      <w:r>
        <w:t>Credit an overall comparison noting that all three mean scores are higher in Clifton South, with the greatest gap in council support.</w:t>
      </w:r>
    </w:p>
    <w:p w14:paraId="6A1622D7" w14:textId="77777777" w:rsidR="00BD2938" w:rsidRDefault="00000000">
      <w:pPr>
        <w:pStyle w:val="Heading2"/>
      </w:pPr>
      <w:r>
        <w:t>1(g)  Using Resource 5B, sketch a suitable graph to compare the residents’ mitigation action in Clifton South and The Park Estate.  [5]</w:t>
      </w:r>
    </w:p>
    <w:p w14:paraId="6E43935B" w14:textId="77777777" w:rsidR="00BD2938" w:rsidRDefault="00000000">
      <w:pPr>
        <w:keepNext/>
      </w:pPr>
      <w:r>
        <w:rPr>
          <w:b/>
        </w:rPr>
        <w:t xml:space="preserve">Marking guidance: </w:t>
      </w:r>
      <w:r>
        <w:t>Award up to 5 marks for a complete, accurate sketch: title; logically ordered categories and labelled axes; appropriate even percentage scale; accurately plotted paired values; clear key or direct labels.</w:t>
      </w:r>
    </w:p>
    <w:p w14:paraId="3178F090" w14:textId="77777777" w:rsidR="00BD2938" w:rsidRDefault="00000000">
      <w:pPr>
        <w:pStyle w:val="ListBullet"/>
      </w:pPr>
      <w:r>
        <w:t>A grouped bar graph can compare Clifton South and The Park Estate across Never, Rarely, Sometimes, Often and Always.</w:t>
      </w:r>
    </w:p>
    <w:p w14:paraId="411631FB" w14:textId="77777777" w:rsidR="00BD2938" w:rsidRDefault="00000000">
      <w:pPr>
        <w:pStyle w:val="Heading2"/>
      </w:pPr>
      <w:r>
        <w:t>1(</w:t>
      </w:r>
      <w:proofErr w:type="gramStart"/>
      <w:r>
        <w:t>h)  With</w:t>
      </w:r>
      <w:proofErr w:type="gramEnd"/>
      <w:r>
        <w:t xml:space="preserve"> reference to all the resources, evaluate the validity of the students’ fieldwork.  [10]</w:t>
      </w:r>
    </w:p>
    <w:p w14:paraId="0B88515D" w14:textId="77777777" w:rsidR="00BD2938" w:rsidRDefault="00000000">
      <w:pPr>
        <w:keepNext/>
      </w:pPr>
      <w:r>
        <w:rPr>
          <w:b/>
        </w:rPr>
        <w:t xml:space="preserve">Marking guidance: </w:t>
      </w:r>
      <w:r>
        <w:t>Award holistically up to 10 marks for a balanced evaluation that uses evidence across the resources. Assess how validity is supported or limited by relevance, reliability and accuracy; credit a reasoned overall judgement and specific improvements.</w:t>
      </w:r>
    </w:p>
    <w:p w14:paraId="07A614D6" w14:textId="77777777" w:rsidR="00BD2938" w:rsidRDefault="00000000">
      <w:pPr>
        <w:pStyle w:val="ListBullet"/>
      </w:pPr>
      <w:r>
        <w:t>The audit and questionnaire address visible household measures, attitudes and reported actions. Common survey and audit procedures support comparison between sampled locations.</w:t>
      </w:r>
    </w:p>
    <w:p w14:paraId="097A0420" w14:textId="77777777" w:rsidR="00BD2938" w:rsidRDefault="00000000">
      <w:pPr>
        <w:pStyle w:val="ListBullet"/>
      </w:pPr>
      <w:r>
        <w:t>Coverage is limited by one transect and few sites per area, a single survey period and possible uncertainty over whether respondents are residents. Repeat across more locations and times.</w:t>
      </w:r>
    </w:p>
    <w:p w14:paraId="28FD03D0" w14:textId="77777777" w:rsidR="00BD2938" w:rsidRDefault="00000000">
      <w:pPr>
        <w:pStyle w:val="ListBullet"/>
      </w:pPr>
      <w:r>
        <w:t>Unequal building counts, restricted visibility and questionnaire wording or self-report can distort results. Compare percentages, verify residency and triangulate with suitable secondary data.</w:t>
      </w:r>
    </w:p>
    <w:p w14:paraId="0D880148" w14:textId="77777777" w:rsidR="00BD2938" w:rsidRDefault="00000000">
      <w:pPr>
        <w:pStyle w:val="ListBullet"/>
      </w:pPr>
      <w:r>
        <w:t>Credit findings supported by more than one resource, while distinguishing conclusions about sampled people and sites from claims about entire communities.</w:t>
      </w:r>
    </w:p>
    <w:p w14:paraId="35A5DBE8" w14:textId="77777777" w:rsidR="00BD2938" w:rsidRDefault="00000000">
      <w:pPr>
        <w:pStyle w:val="Heading1"/>
      </w:pPr>
      <w:r>
        <w:t>Section B  Sustainable Future and Climate Change</w:t>
      </w:r>
    </w:p>
    <w:p w14:paraId="36F22853" w14:textId="77777777" w:rsidR="00BD2938" w:rsidRDefault="00000000">
      <w:pPr>
        <w:pStyle w:val="Heading1"/>
      </w:pPr>
      <w:r>
        <w:t>Question 2  Urban sustainability and climate change  30 marks</w:t>
      </w:r>
    </w:p>
    <w:p w14:paraId="0301D837" w14:textId="77777777" w:rsidR="00BD2938" w:rsidRDefault="00000000">
      <w:pPr>
        <w:pStyle w:val="Heading2"/>
      </w:pPr>
      <w:r>
        <w:t>2(a)  Using Resource 6, describe the changes shown in King’s Cross following urban reimaging.  [5]</w:t>
      </w:r>
    </w:p>
    <w:p w14:paraId="78D06435" w14:textId="77777777" w:rsidR="00BD2938" w:rsidRDefault="00000000">
      <w:pPr>
        <w:keepNext/>
      </w:pPr>
      <w:r>
        <w:rPr>
          <w:b/>
        </w:rPr>
        <w:t xml:space="preserve">Marking guidance: </w:t>
      </w:r>
      <w:r>
        <w:t>Award 1 mark for each distinct, accurate description of change shown in Resource 6, up to 5. Credit both aerial and street-level evidence.</w:t>
      </w:r>
    </w:p>
    <w:p w14:paraId="6DA1483A" w14:textId="77777777" w:rsidR="00BD2938" w:rsidRDefault="00000000">
      <w:pPr>
        <w:pStyle w:val="ListBullet"/>
      </w:pPr>
      <w:r>
        <w:t>Railway yards and underused industrial land gave way to denser modern buildings, while some older railway and brick structures remain.</w:t>
      </w:r>
    </w:p>
    <w:p w14:paraId="5F5CDD78" w14:textId="77777777" w:rsidR="00BD2938" w:rsidRDefault="00000000">
      <w:pPr>
        <w:pStyle w:val="ListBullet"/>
      </w:pPr>
      <w:r>
        <w:t>Fenced or bare land became more accessible landscaped public space, with more greenery and visible pedestrian use.</w:t>
      </w:r>
    </w:p>
    <w:p w14:paraId="08A91CF0" w14:textId="77777777" w:rsidR="00BD2938" w:rsidRDefault="00000000">
      <w:pPr>
        <w:pStyle w:val="Heading2"/>
      </w:pPr>
      <w:r>
        <w:t>2(b)  Compare the SDG scores of the two cities shown in Resource 7.  [5]</w:t>
      </w:r>
    </w:p>
    <w:p w14:paraId="5AC7DC95" w14:textId="77777777" w:rsidR="00BD2938" w:rsidRDefault="00000000">
      <w:pPr>
        <w:keepNext/>
      </w:pPr>
      <w:r>
        <w:rPr>
          <w:b/>
        </w:rPr>
        <w:t xml:space="preserve">Marking guidance: </w:t>
      </w:r>
      <w:r>
        <w:t>Award 1 mark for each valid comparison, and additional marks for appropriate data support or elaboration, up to 5. Require direct comparison between cities.</w:t>
      </w:r>
    </w:p>
    <w:p w14:paraId="40661F37" w14:textId="77777777" w:rsidR="00BD2938" w:rsidRDefault="00000000">
      <w:pPr>
        <w:pStyle w:val="ListBullet"/>
      </w:pPr>
      <w:r>
        <w:t>Oslo scores higher than Athens for most of the six SDGs; both score highly and similarly for clean water.</w:t>
      </w:r>
    </w:p>
    <w:p w14:paraId="28C847B7" w14:textId="77777777" w:rsidR="00BD2938" w:rsidRDefault="00000000">
      <w:pPr>
        <w:pStyle w:val="ListBullet"/>
      </w:pPr>
      <w:r>
        <w:t>Differences are greater for responsible consumption and climate action than for health. Credit accurate relative patterns and approximate values from Resource 7.</w:t>
      </w:r>
    </w:p>
    <w:p w14:paraId="2673FCF1" w14:textId="77777777" w:rsidR="00BD2938" w:rsidRDefault="00000000">
      <w:pPr>
        <w:pStyle w:val="Heading2"/>
      </w:pPr>
      <w:r>
        <w:lastRenderedPageBreak/>
        <w:t>2(c)  Explain the difficulties faced when measuring sustainable urban development using measures such as the Sustainable Development Goals (SDG) scores shown in Resource 7.  [5]</w:t>
      </w:r>
    </w:p>
    <w:p w14:paraId="4ABB6BA3" w14:textId="77777777" w:rsidR="00BD2938" w:rsidRDefault="00000000">
      <w:pPr>
        <w:keepNext/>
      </w:pPr>
      <w:r>
        <w:rPr>
          <w:b/>
        </w:rPr>
        <w:t xml:space="preserve">Marking guidance: </w:t>
      </w:r>
      <w:r>
        <w:t>Award 1 mark for each distinct difficulty explained, up to 5. Credit application to SDG scores in Resource 7.</w:t>
      </w:r>
    </w:p>
    <w:p w14:paraId="131D2E00" w14:textId="77777777" w:rsidR="00BD2938" w:rsidRDefault="00000000">
      <w:pPr>
        <w:pStyle w:val="ListBullet"/>
      </w:pPr>
      <w:r>
        <w:t>Selected indicators and weights cannot capture every social, economic and environmental aspect; city averages may hide within-city inequality.</w:t>
      </w:r>
    </w:p>
    <w:p w14:paraId="617A6B0C" w14:textId="77777777" w:rsidR="00BD2938" w:rsidRDefault="00000000">
      <w:pPr>
        <w:pStyle w:val="ListBullet"/>
      </w:pPr>
      <w:r>
        <w:t>Data may differ in availability, definition or date, while city contexts differ. Scores may obscure trade-offs and longer-term changes.</w:t>
      </w:r>
    </w:p>
    <w:p w14:paraId="30699C47" w14:textId="77777777" w:rsidR="00BD2938" w:rsidRDefault="00000000">
      <w:pPr>
        <w:pStyle w:val="Heading2"/>
      </w:pPr>
      <w:r>
        <w:t>2(d)  Using Resource 8, compare the projected changes in global carbon dioxide emissions from energy and land between 2020 and 2100.  [5]</w:t>
      </w:r>
    </w:p>
    <w:p w14:paraId="5E9D1F5E" w14:textId="77777777" w:rsidR="00BD2938" w:rsidRDefault="00000000">
      <w:pPr>
        <w:keepNext/>
      </w:pPr>
      <w:r>
        <w:rPr>
          <w:b/>
        </w:rPr>
        <w:t xml:space="preserve">Marking guidance: </w:t>
      </w:r>
      <w:r>
        <w:t>Award 1 mark for each accurate comparison of projected changes; award additional marks for elaboration or approximate data support, up to 5. Account for all positive and negative series in Resource 8.</w:t>
      </w:r>
    </w:p>
    <w:p w14:paraId="4CC92F3E" w14:textId="77777777" w:rsidR="00BD2938" w:rsidRDefault="00000000">
      <w:pPr>
        <w:pStyle w:val="ListBullet"/>
      </w:pPr>
      <w:r>
        <w:t>Positive energy emissions decline strongly while positive land emissions remain much smaller; removals appear as bars below zero.</w:t>
      </w:r>
    </w:p>
    <w:p w14:paraId="5D262C0C" w14:textId="77777777" w:rsidR="00BD2938" w:rsidRDefault="00000000">
      <w:pPr>
        <w:pStyle w:val="ListBullet"/>
      </w:pPr>
      <w:r>
        <w:t>Land-based removals grow moderately; technological removals begin later and become larger by 2100.</w:t>
      </w:r>
    </w:p>
    <w:p w14:paraId="1C74AFFD" w14:textId="77777777" w:rsidR="00BD2938" w:rsidRDefault="00000000">
      <w:pPr>
        <w:pStyle w:val="ListBullet"/>
      </w:pPr>
      <w:r>
        <w:t>Emissions and removals converge around 2070, with slightly net-negative emissions later in the projection.</w:t>
      </w:r>
    </w:p>
    <w:p w14:paraId="43903867" w14:textId="77777777" w:rsidR="00BD2938" w:rsidRDefault="00000000">
      <w:pPr>
        <w:pStyle w:val="Heading2"/>
      </w:pPr>
      <w:r>
        <w:t>2(e)  With reference to Resource 8, suggest reasons for the projected changes in carbon dioxide emissions from 2040 onwards.  [5]</w:t>
      </w:r>
    </w:p>
    <w:p w14:paraId="0ED0A9CD" w14:textId="77777777" w:rsidR="00BD2938" w:rsidRDefault="00000000">
      <w:pPr>
        <w:keepNext/>
      </w:pPr>
      <w:r>
        <w:rPr>
          <w:b/>
        </w:rPr>
        <w:t xml:space="preserve">Marking guidance: </w:t>
      </w:r>
      <w:r>
        <w:t>Award 1 mark for each plausible reason linked to a projected trend from 2040 onward; award additional marks for explanation or resource support, up to 5.</w:t>
      </w:r>
    </w:p>
    <w:p w14:paraId="760EE3E7" w14:textId="77777777" w:rsidR="00BD2938" w:rsidRDefault="00000000">
      <w:pPr>
        <w:pStyle w:val="ListBullet"/>
      </w:pPr>
      <w:r>
        <w:t>Cleaner energy, efficiency and climate policies may reduce positive emissions; some hard-to-abate activities leave residual emissions.</w:t>
      </w:r>
    </w:p>
    <w:p w14:paraId="344A0B3B" w14:textId="77777777" w:rsidR="00BD2938" w:rsidRDefault="00000000">
      <w:pPr>
        <w:pStyle w:val="ListBullet"/>
      </w:pPr>
      <w:r>
        <w:t>Carbon-capture deployment and land-based carbon sinks may account for growing removals below zero.</w:t>
      </w:r>
    </w:p>
    <w:p w14:paraId="179DA915" w14:textId="77777777" w:rsidR="00BD2938" w:rsidRDefault="00000000">
      <w:pPr>
        <w:pStyle w:val="Heading2"/>
      </w:pPr>
      <w:r>
        <w:t>2(f)  Explain the reasons for uncertainty over present and future impacts of contemporary climate change.  [5]</w:t>
      </w:r>
    </w:p>
    <w:p w14:paraId="166C4B85" w14:textId="77777777" w:rsidR="00BD2938" w:rsidRDefault="00000000">
      <w:pPr>
        <w:keepNext/>
      </w:pPr>
      <w:r>
        <w:rPr>
          <w:b/>
        </w:rPr>
        <w:t xml:space="preserve">Marking guidance: </w:t>
      </w:r>
      <w:r>
        <w:t>Award 1 mark for each distinct cause of uncertainty; award additional marks for developed explanation, up to 5.</w:t>
      </w:r>
    </w:p>
    <w:p w14:paraId="5399EC55" w14:textId="77777777" w:rsidR="00BD2938" w:rsidRDefault="00000000">
      <w:pPr>
        <w:pStyle w:val="ListBullet"/>
      </w:pPr>
      <w:r>
        <w:t>Incomplete knowledge of climate feedbacks and tipping points, gaps in observations and limitations of historical or proxy records affect estimates of present change.</w:t>
      </w:r>
    </w:p>
    <w:p w14:paraId="530C4980" w14:textId="77777777" w:rsidR="00BD2938" w:rsidRDefault="00000000">
      <w:pPr>
        <w:pStyle w:val="ListBullet"/>
      </w:pPr>
      <w:r>
        <w:t>Future emissions pathways, vulnerability and adaptation depend on uncertain social, economic and policy choices.</w:t>
      </w:r>
    </w:p>
    <w:p w14:paraId="196C9E6D" w14:textId="77777777" w:rsidR="00BD2938" w:rsidRDefault="00000000">
      <w:pPr>
        <w:pStyle w:val="Heading1"/>
      </w:pPr>
      <w:r>
        <w:t>Section C  Essays  20 marks each</w:t>
      </w:r>
    </w:p>
    <w:p w14:paraId="770676CA" w14:textId="77777777" w:rsidR="00BD2938" w:rsidRDefault="00000000">
      <w:r>
        <w:t>Assess each essay holistically. Strong responses use accurate knowledge and relevant examples, compare the alternatives in the question and reach a supported, contextual judgement. Credit coherent alternative approaches.</w:t>
      </w:r>
    </w:p>
    <w:p w14:paraId="4E081041" w14:textId="77777777" w:rsidR="00BD2938" w:rsidRDefault="00000000">
      <w:pPr>
        <w:pStyle w:val="Heading2"/>
      </w:pPr>
      <w:r>
        <w:t>3  ‘Environmental issues pose the greatest challenge to urban liveability.’ Evaluate this statement.  [20]</w:t>
      </w:r>
    </w:p>
    <w:p w14:paraId="2664649B" w14:textId="77777777" w:rsidR="00BD2938" w:rsidRDefault="00000000">
      <w:pPr>
        <w:keepNext/>
      </w:pPr>
      <w:r>
        <w:rPr>
          <w:b/>
        </w:rPr>
        <w:t>Possible Approach:</w:t>
      </w:r>
    </w:p>
    <w:p w14:paraId="747463B9" w14:textId="77777777" w:rsidR="00BD2938" w:rsidRDefault="00000000">
      <w:r>
        <w:t>Candidates could analyse how environmental issues affect urban liveability and compare their significance with social, economic or governance challenges. Relevant urban contexts may be used to explore variation in residents’ experiences.</w:t>
      </w:r>
    </w:p>
    <w:p w14:paraId="3022B31C" w14:textId="77777777" w:rsidR="00BD2938" w:rsidRDefault="00000000">
      <w:r>
        <w:t>Candidates could also judge when environmental challenges become the greatest, considering the severity, scale or duration of their effects and a city’s capacity to respond. Different conclusions may be supported by appropriate examples.</w:t>
      </w:r>
    </w:p>
    <w:p w14:paraId="3E3DF93C" w14:textId="77777777" w:rsidR="00BD2938" w:rsidRDefault="00000000">
      <w:pPr>
        <w:pStyle w:val="Heading2"/>
      </w:pPr>
      <w:r>
        <w:lastRenderedPageBreak/>
        <w:t>4  ‘The state is more important than non-governmental organisations (NGOs) in responding to climate change.’ Evaluate this statement.  [20]</w:t>
      </w:r>
    </w:p>
    <w:p w14:paraId="6A8F583F" w14:textId="77777777" w:rsidR="00BD2938" w:rsidRDefault="00000000">
      <w:pPr>
        <w:keepNext/>
      </w:pPr>
      <w:r>
        <w:rPr>
          <w:b/>
        </w:rPr>
        <w:t>Possible Approach:</w:t>
      </w:r>
    </w:p>
    <w:p w14:paraId="183966D8" w14:textId="77777777" w:rsidR="00BD2938" w:rsidRDefault="00000000">
      <w:r>
        <w:t>Candidates could analyse the roles of states and NGOs in climate change mitigation and adaptation, including how each can influence policy and action at different scales.</w:t>
      </w:r>
    </w:p>
    <w:p w14:paraId="6D2B2CE8" w14:textId="77777777" w:rsidR="00BD2938" w:rsidRDefault="00000000">
      <w:r>
        <w:t>Candidates could also judge whether one actor is more important in particular contexts. They may consider the nature of the response, available authority and resources, or the needs of affected communities, and recognise how the two actors may work together.</w:t>
      </w:r>
    </w:p>
    <w:sectPr w:rsidR="00BD2938" w:rsidSect="00034616">
      <w:pgSz w:w="11909" w:h="16834"/>
      <w:pgMar w:top="1008"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64632" w14:textId="77777777" w:rsidR="00AD7CC9" w:rsidRDefault="00AD7CC9">
      <w:pPr>
        <w:spacing w:after="0" w:line="240" w:lineRule="auto"/>
      </w:pPr>
      <w:r>
        <w:separator/>
      </w:r>
    </w:p>
  </w:endnote>
  <w:endnote w:type="continuationSeparator" w:id="0">
    <w:p w14:paraId="1D858AB6" w14:textId="77777777" w:rsidR="00AD7CC9" w:rsidRDefault="00AD7C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35F81" w14:textId="77777777" w:rsidR="00AD7CC9" w:rsidRDefault="00AD7CC9">
      <w:pPr>
        <w:spacing w:after="0" w:line="240" w:lineRule="auto"/>
      </w:pPr>
      <w:r>
        <w:separator/>
      </w:r>
    </w:p>
  </w:footnote>
  <w:footnote w:type="continuationSeparator" w:id="0">
    <w:p w14:paraId="04D46A1A" w14:textId="77777777" w:rsidR="00AD7CC9" w:rsidRDefault="00AD7C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1006041">
    <w:abstractNumId w:val="8"/>
  </w:num>
  <w:num w:numId="2" w16cid:durableId="1695499208">
    <w:abstractNumId w:val="6"/>
  </w:num>
  <w:num w:numId="3" w16cid:durableId="1571042544">
    <w:abstractNumId w:val="5"/>
  </w:num>
  <w:num w:numId="4" w16cid:durableId="822694274">
    <w:abstractNumId w:val="4"/>
  </w:num>
  <w:num w:numId="5" w16cid:durableId="641036721">
    <w:abstractNumId w:val="7"/>
  </w:num>
  <w:num w:numId="6" w16cid:durableId="137841773">
    <w:abstractNumId w:val="3"/>
  </w:num>
  <w:num w:numId="7" w16cid:durableId="1022168333">
    <w:abstractNumId w:val="2"/>
  </w:num>
  <w:num w:numId="8" w16cid:durableId="1792170262">
    <w:abstractNumId w:val="1"/>
  </w:num>
  <w:num w:numId="9" w16cid:durableId="1996255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0FCF"/>
    <w:rsid w:val="0015074B"/>
    <w:rsid w:val="00247E31"/>
    <w:rsid w:val="0029639D"/>
    <w:rsid w:val="00326F90"/>
    <w:rsid w:val="00AA1D8D"/>
    <w:rsid w:val="00AD7CC9"/>
    <w:rsid w:val="00B47730"/>
    <w:rsid w:val="00BD2938"/>
    <w:rsid w:val="00CB0664"/>
    <w:rsid w:val="00CB59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74EB92E"/>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64" w:lineRule="auto"/>
    </w:pPr>
    <w:rPr>
      <w:rFonts w:ascii="Aptos" w:hAnsi="Aptos"/>
      <w:color w:val="000000"/>
      <w:sz w:val="20"/>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180" w:line="240" w:lineRule="auto"/>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BC830D-C1BD-4722-B87D-57A4BCF9CE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1541</Words>
  <Characters>8788</Characters>
  <Application>Microsoft Office Word</Application>
  <DocSecurity>0</DocSecurity>
  <Lines>73</Lines>
  <Paragraphs>20</Paragraphs>
  <ScaleCrop>false</ScaleCrop>
  <Manager/>
  <Company/>
  <LinksUpToDate>false</LinksUpToDate>
  <CharactersWithSpaces>10309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2026-09-27T06:31:00Z</dcterms:created>
  <dcterms:modified xsi:type="dcterms:W3CDTF">2026-09-27T06:31:00Z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2026-09-27T06:31:56Z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9a86cfc7-f0fe-4155-a04a-41f1feff4183</vt:lpwstr>
  </property>
  <property fmtid="{D5CDD505-2E9C-101B-9397-08002B2CF9AE}" pid="8" name="MSIP_Label_5fb06199-574a-4a73-a110-6e35d3b9f147_ContentBits">
    <vt:lpwstr>0</vt:lpwstr>
  </property>
  <property fmtid="{D5CDD505-2E9C-101B-9397-08002B2CF9AE}" pid="9" name="MSIP_Label_5fb06199-574a-4a73-a110-6e35d3b9f147_Tag">
    <vt:lpwstr>10, 0, 1, 1</vt:lpwstr>
  </property>
</Properties>
</file>