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9C200" w14:textId="77777777" w:rsidR="00626E0A" w:rsidRDefault="00000000">
      <w:pPr>
        <w:pStyle w:val="Title"/>
      </w:pPr>
      <w:r>
        <w:t>2026 H1 Geography Preliminary Examination Mark Scheme</w:t>
      </w:r>
    </w:p>
    <w:p w14:paraId="518C86A6" w14:textId="77777777" w:rsidR="00626E0A" w:rsidRDefault="00000000">
      <w:pPr>
        <w:pStyle w:val="Heading1"/>
      </w:pPr>
      <w:r>
        <w:t xml:space="preserve">Section </w:t>
      </w:r>
      <w:proofErr w:type="gramStart"/>
      <w:r>
        <w:t>A  Fieldwork</w:t>
      </w:r>
      <w:proofErr w:type="gramEnd"/>
    </w:p>
    <w:p w14:paraId="17167449" w14:textId="77777777" w:rsidR="00626E0A" w:rsidRDefault="00000000">
      <w:pPr>
        <w:pStyle w:val="Heading1"/>
      </w:pPr>
      <w:r>
        <w:t>Question 1  Recycling in Toa Payoh  30 marks</w:t>
      </w:r>
    </w:p>
    <w:p w14:paraId="3679A537" w14:textId="77777777" w:rsidR="00626E0A" w:rsidRDefault="00000000">
      <w:pPr>
        <w:pStyle w:val="Heading2"/>
      </w:pPr>
      <w:r>
        <w:t>1(</w:t>
      </w:r>
      <w:proofErr w:type="gramStart"/>
      <w:r>
        <w:t>a)  Explain</w:t>
      </w:r>
      <w:proofErr w:type="gramEnd"/>
      <w:r>
        <w:t xml:space="preserve"> why the research question is appropriate for this investigation.  [3]</w:t>
      </w:r>
    </w:p>
    <w:p w14:paraId="73C3ED2B" w14:textId="77777777" w:rsidR="00626E0A" w:rsidRDefault="00000000">
      <w:pPr>
        <w:keepNext/>
      </w:pPr>
      <w:r>
        <w:rPr>
          <w:b/>
        </w:rPr>
        <w:t xml:space="preserve">Marking guidance: </w:t>
      </w:r>
      <w:r>
        <w:t>Award 1 mark for each relevant explanation of appropriateness; award further credit for developed reasoning, up to 3.</w:t>
      </w:r>
    </w:p>
    <w:p w14:paraId="3E6E81AF" w14:textId="77777777" w:rsidR="00626E0A" w:rsidRDefault="00000000">
      <w:pPr>
        <w:pStyle w:val="ListBullet"/>
      </w:pPr>
      <w:r>
        <w:t>The question identifies a measurable relationship between accessibility and correct recycling practices in a defined study area.</w:t>
      </w:r>
    </w:p>
    <w:p w14:paraId="3071E22E" w14:textId="77777777" w:rsidR="00626E0A" w:rsidRDefault="00000000">
      <w:pPr>
        <w:pStyle w:val="ListBullet"/>
      </w:pPr>
      <w:r>
        <w:t>Walking time and residents’ perceptions may indicate access, while the visual audit provides a measure of correct recycling. The eight sites permit spatial comparison.</w:t>
      </w:r>
    </w:p>
    <w:p w14:paraId="1BFEBCC1" w14:textId="77777777" w:rsidR="00626E0A" w:rsidRDefault="00000000">
      <w:pPr>
        <w:pStyle w:val="Heading2"/>
      </w:pPr>
      <w:r>
        <w:t>1(b)  With reference to Resources 2A and 2B, suggest how the students could minimise potential risks during the investigation.  [5]</w:t>
      </w:r>
    </w:p>
    <w:p w14:paraId="169BFAE1" w14:textId="77777777" w:rsidR="00626E0A" w:rsidRDefault="00000000">
      <w:pPr>
        <w:keepNext/>
      </w:pPr>
      <w:r>
        <w:rPr>
          <w:b/>
        </w:rPr>
        <w:t xml:space="preserve">Marking guidance: </w:t>
      </w:r>
      <w:r>
        <w:t>Award 1 mark per relevant risk-minimisation measure; credit resource-linked explanation, up to 5. A risk named without a precaution earns no credit.</w:t>
      </w:r>
    </w:p>
    <w:p w14:paraId="78F43724" w14:textId="77777777" w:rsidR="00626E0A" w:rsidRDefault="00000000">
      <w:pPr>
        <w:pStyle w:val="ListBullet"/>
      </w:pPr>
      <w:r>
        <w:t>Observe the top layer without handling waste; avoid sharp containers and wash or sanitise hands after the audit (Resource 2A).</w:t>
      </w:r>
    </w:p>
    <w:p w14:paraId="23D2E825" w14:textId="77777777" w:rsidR="007E4A60" w:rsidRDefault="00000000">
      <w:pPr>
        <w:pStyle w:val="ListBullet"/>
      </w:pPr>
      <w:r>
        <w:t xml:space="preserve">Work in pairs at the side of the shared walkway and remain alert to pedestrians and cyclists when surveying residents (Resource 2B). </w:t>
      </w:r>
    </w:p>
    <w:p w14:paraId="4BF46321" w14:textId="7FF98E3E" w:rsidR="00626E0A" w:rsidRDefault="00000000">
      <w:pPr>
        <w:pStyle w:val="ListBullet"/>
      </w:pPr>
      <w:r>
        <w:t>Credit other practical precautions.</w:t>
      </w:r>
    </w:p>
    <w:p w14:paraId="798BB6FC" w14:textId="77777777" w:rsidR="00626E0A" w:rsidRDefault="00000000">
      <w:pPr>
        <w:pStyle w:val="Heading2"/>
      </w:pPr>
      <w:r>
        <w:t>1(c)  With reference to Resource 3, explain the limitations of the survey questionnaire when used to survey residents during the investigation.  [4]</w:t>
      </w:r>
    </w:p>
    <w:p w14:paraId="7FF7E51E" w14:textId="77777777" w:rsidR="00626E0A" w:rsidRDefault="00000000">
      <w:pPr>
        <w:keepNext/>
      </w:pPr>
      <w:r>
        <w:rPr>
          <w:b/>
        </w:rPr>
        <w:t xml:space="preserve">Marking guidance: </w:t>
      </w:r>
      <w:r>
        <w:t>Award up to 2 marks per explained limitation linked to Resource 3, up to 4.</w:t>
      </w:r>
    </w:p>
    <w:p w14:paraId="641DAE9A" w14:textId="77777777" w:rsidR="00626E0A" w:rsidRDefault="00000000">
      <w:pPr>
        <w:pStyle w:val="ListBullet"/>
      </w:pPr>
      <w:r>
        <w:t>Vague frequency words in Question 1 and estimated walking times in Question 4 may be interpreted or recalled differently.</w:t>
      </w:r>
    </w:p>
    <w:p w14:paraId="61C029C7" w14:textId="77777777" w:rsidR="00626E0A" w:rsidRDefault="00000000">
      <w:pPr>
        <w:pStyle w:val="ListBullet"/>
      </w:pPr>
      <w:r>
        <w:t>Question 2 permits only one barrier, while Question 5 combines visibility and accessibility and has an incorrectly numbered response scale.</w:t>
      </w:r>
    </w:p>
    <w:p w14:paraId="240F9D59" w14:textId="77777777" w:rsidR="00626E0A" w:rsidRDefault="00000000">
      <w:pPr>
        <w:pStyle w:val="ListBullet"/>
      </w:pPr>
      <w:r>
        <w:t>Self-reported answers may not match actual recycling behaviour.</w:t>
      </w:r>
    </w:p>
    <w:p w14:paraId="061421F2" w14:textId="77777777" w:rsidR="00626E0A" w:rsidRDefault="00000000">
      <w:pPr>
        <w:pStyle w:val="Heading2"/>
      </w:pPr>
      <w:r>
        <w:t>1(d)  Using Resource 4A, describe the extent of correct recycling practices in Toa Payoh.  [4]</w:t>
      </w:r>
    </w:p>
    <w:p w14:paraId="4D6706BF" w14:textId="77777777" w:rsidR="00626E0A" w:rsidRDefault="00000000">
      <w:pPr>
        <w:keepNext/>
      </w:pPr>
      <w:r>
        <w:rPr>
          <w:b/>
        </w:rPr>
        <w:t xml:space="preserve">Marking guidance: </w:t>
      </w:r>
      <w:r>
        <w:t>Award 1 mark per distinct, accurate description using Resource 4A; credit appropriate quantities or proportions, up to 4.</w:t>
      </w:r>
    </w:p>
    <w:p w14:paraId="047AB252" w14:textId="77777777" w:rsidR="00626E0A" w:rsidRDefault="00000000">
      <w:pPr>
        <w:pStyle w:val="ListBullet"/>
      </w:pPr>
      <w:r>
        <w:t>Correct items predominate overall: 101 of 160 visible items, about 63%; they exceed contaminants at six of eight sites.</w:t>
      </w:r>
    </w:p>
    <w:p w14:paraId="72179A99" w14:textId="77777777" w:rsidR="00626E0A" w:rsidRDefault="00000000">
      <w:pPr>
        <w:pStyle w:val="ListBullet"/>
      </w:pPr>
      <w:r>
        <w:t>Practice varies among sites: D has 17 of 20 correct items, while H has 8 of 20. Residential sites generally perform better than market or food sites.</w:t>
      </w:r>
    </w:p>
    <w:p w14:paraId="0E92E33C" w14:textId="77777777" w:rsidR="00626E0A" w:rsidRDefault="00000000">
      <w:pPr>
        <w:pStyle w:val="Heading2"/>
      </w:pPr>
      <w:r>
        <w:t>1(e)  With reference to Resource 4B, use a suitable data representation technique to show the main barriers to recycling identified by respondents.  [4]</w:t>
      </w:r>
    </w:p>
    <w:p w14:paraId="34242DD1" w14:textId="77777777" w:rsidR="00626E0A" w:rsidRDefault="00000000">
      <w:pPr>
        <w:keepNext/>
      </w:pPr>
      <w:r>
        <w:rPr>
          <w:b/>
        </w:rPr>
        <w:t xml:space="preserve">Marking guidance: </w:t>
      </w:r>
      <w:r>
        <w:t>Award 1 mark each for a suitable graph with title, appropriately labelled categories or axes and scale, and accurate plotting of all four counts, up to 4. Credit a bar graph or other suitable representation.</w:t>
      </w:r>
    </w:p>
    <w:p w14:paraId="6AFE8D87" w14:textId="77777777" w:rsidR="00626E0A" w:rsidRDefault="00000000">
      <w:pPr>
        <w:pStyle w:val="ListBullet"/>
      </w:pPr>
      <w:r>
        <w:t>The main barriers in Resource 4B are cleaning containers (24), uncertainty about accepted items (21), inconvenient location (17), and other barriers (18 respondents).</w:t>
      </w:r>
    </w:p>
    <w:p w14:paraId="428875BE" w14:textId="77777777" w:rsidR="00626E0A" w:rsidRDefault="00000000">
      <w:pPr>
        <w:pStyle w:val="ListBullet"/>
      </w:pPr>
      <w:r>
        <w:t>Use a zero-based numerical scale and a clear label indicating the number of respondents.</w:t>
      </w:r>
    </w:p>
    <w:p w14:paraId="0819E40D" w14:textId="77777777" w:rsidR="00626E0A" w:rsidRDefault="00000000">
      <w:pPr>
        <w:pStyle w:val="Heading2"/>
      </w:pPr>
      <w:r>
        <w:lastRenderedPageBreak/>
        <w:t>1(f)  With reference to all the resources, evaluate the reliability and accuracy of the investigation.  [10]</w:t>
      </w:r>
    </w:p>
    <w:p w14:paraId="644E7B05" w14:textId="77777777" w:rsidR="00626E0A" w:rsidRDefault="00000000">
      <w:pPr>
        <w:keepNext/>
      </w:pPr>
      <w:r>
        <w:rPr>
          <w:b/>
        </w:rPr>
        <w:t xml:space="preserve">Marking guidance: </w:t>
      </w:r>
      <w:r>
        <w:t>Award holistically up to 10 marks for a balanced evaluation of reliability and accuracy using evidence across the resources. Credit a supported judgement and practical improvements.</w:t>
      </w:r>
    </w:p>
    <w:p w14:paraId="31D266C7" w14:textId="77777777" w:rsidR="00626E0A" w:rsidRDefault="00000000">
      <w:pPr>
        <w:pStyle w:val="ListBullet"/>
      </w:pPr>
      <w:r>
        <w:t>Reliability is helped by a common questionnaire, a consistent top-layer audit of 20 items at each of eight sites and the same fieldwork period; one day and limited sites constrain repeatability.</w:t>
      </w:r>
    </w:p>
    <w:p w14:paraId="6FBDB2B6" w14:textId="77777777" w:rsidR="00626E0A" w:rsidRDefault="00000000">
      <w:pPr>
        <w:pStyle w:val="ListBullet"/>
      </w:pPr>
      <w:r>
        <w:t>Accuracy is limited by observing only visible items, selecting only the top layer, self-reported survey responses and questionnaire wording. Walking-time estimates may differ from measured accessibility.</w:t>
      </w:r>
    </w:p>
    <w:p w14:paraId="5B7DE8D3" w14:textId="77777777" w:rsidR="00626E0A" w:rsidRDefault="00000000">
      <w:pPr>
        <w:pStyle w:val="ListBullet"/>
      </w:pPr>
      <w:r>
        <w:t>Resource 4A suggests site variation in correct disposal; Resource 4B gives residents’ reported access and barriers. Neither alone establishes that accessibility caused observed differences.</w:t>
      </w:r>
    </w:p>
    <w:p w14:paraId="0859D879" w14:textId="77777777" w:rsidR="00626E0A" w:rsidRDefault="00000000">
      <w:pPr>
        <w:pStyle w:val="ListBullet"/>
      </w:pPr>
      <w:r>
        <w:t>Credit repetition at more sites and times, a clearer questionnaire, measured walking times and careful comparison of site and survey results.</w:t>
      </w:r>
    </w:p>
    <w:p w14:paraId="79D24A0F" w14:textId="77777777" w:rsidR="00626E0A" w:rsidRDefault="00000000">
      <w:pPr>
        <w:pStyle w:val="Heading1"/>
      </w:pPr>
      <w:r>
        <w:t>Section B  Sustainable Future and Climate Change</w:t>
      </w:r>
    </w:p>
    <w:p w14:paraId="137012D2" w14:textId="77777777" w:rsidR="00626E0A" w:rsidRDefault="00000000">
      <w:pPr>
        <w:pStyle w:val="Heading1"/>
      </w:pPr>
      <w:r>
        <w:t>Question 2  Urban sustainability  22 marks</w:t>
      </w:r>
    </w:p>
    <w:p w14:paraId="4D8EAF05" w14:textId="77777777" w:rsidR="00626E0A" w:rsidRDefault="00000000">
      <w:pPr>
        <w:pStyle w:val="Heading2"/>
      </w:pPr>
      <w:r>
        <w:t>2(a)  Using Resource 5, describe the global distribution of countries with more than 70% of their urban population living in slums in 2024.  [3]</w:t>
      </w:r>
    </w:p>
    <w:p w14:paraId="75DD3D83" w14:textId="77777777" w:rsidR="00626E0A" w:rsidRDefault="00000000">
      <w:pPr>
        <w:keepNext/>
      </w:pPr>
      <w:r>
        <w:rPr>
          <w:b/>
        </w:rPr>
        <w:t xml:space="preserve">Marking guidance: </w:t>
      </w:r>
      <w:r>
        <w:t>Award 1 mark for each distinct, accurate description of the global distribution in Resource 5, up to 3.</w:t>
      </w:r>
    </w:p>
    <w:p w14:paraId="438DBD9B" w14:textId="77777777" w:rsidR="00626E0A" w:rsidRDefault="00000000">
      <w:pPr>
        <w:pStyle w:val="ListBullet"/>
      </w:pPr>
      <w:r>
        <w:t>Countries above 70% are concentrated in sub-Saharan Africa, including parts of West, Central and East Africa.</w:t>
      </w:r>
    </w:p>
    <w:p w14:paraId="2FAFB641" w14:textId="77777777" w:rsidR="00626E0A" w:rsidRDefault="00000000">
      <w:pPr>
        <w:pStyle w:val="ListBullet"/>
      </w:pPr>
      <w:r>
        <w:t>Few lie outside Africa; Afghanistan is one exception. Such countries are absent from most other world regions shown.</w:t>
      </w:r>
    </w:p>
    <w:p w14:paraId="02EFB861" w14:textId="77777777" w:rsidR="00626E0A" w:rsidRDefault="00000000">
      <w:pPr>
        <w:pStyle w:val="Heading2"/>
      </w:pPr>
      <w:r>
        <w:t>2(b)  Explain why slums develop in rapidly urbanising cities.  [5]</w:t>
      </w:r>
    </w:p>
    <w:p w14:paraId="41810FC5" w14:textId="77777777" w:rsidR="00626E0A" w:rsidRDefault="00000000">
      <w:pPr>
        <w:keepNext/>
      </w:pPr>
      <w:r>
        <w:rPr>
          <w:b/>
        </w:rPr>
        <w:t xml:space="preserve">Marking guidance: </w:t>
      </w:r>
      <w:r>
        <w:t>Award 1 mark for each relevant reason explained, up to 5.</w:t>
      </w:r>
    </w:p>
    <w:p w14:paraId="0F46CAB2" w14:textId="77777777" w:rsidR="00626E0A" w:rsidRDefault="00000000">
      <w:pPr>
        <w:pStyle w:val="ListBullet"/>
      </w:pPr>
      <w:r>
        <w:t>Rural–urban migration and natural increase may outpace formal housing, infrastructure and job provision.</w:t>
      </w:r>
    </w:p>
    <w:p w14:paraId="29DAB5C7" w14:textId="77777777" w:rsidR="00626E0A" w:rsidRDefault="00000000">
      <w:pPr>
        <w:pStyle w:val="ListBullet"/>
      </w:pPr>
      <w:r>
        <w:t>Low and insecure incomes, expensive land and limited affordable housing push households towards informal settlements.</w:t>
      </w:r>
    </w:p>
    <w:p w14:paraId="467C6617" w14:textId="77777777" w:rsidR="00626E0A" w:rsidRDefault="00000000">
      <w:pPr>
        <w:pStyle w:val="ListBullet"/>
      </w:pPr>
      <w:r>
        <w:t>Weak planning, land tenure and service provision can cause slums to persist.</w:t>
      </w:r>
    </w:p>
    <w:p w14:paraId="2D654F2E" w14:textId="77777777" w:rsidR="00626E0A" w:rsidRDefault="00000000">
      <w:pPr>
        <w:pStyle w:val="Heading2"/>
      </w:pPr>
      <w:r>
        <w:t>2(c)  Using Resource 6, suggest the possible negative impacts of urban reimaging.  [5]</w:t>
      </w:r>
    </w:p>
    <w:p w14:paraId="229B74D9" w14:textId="77777777" w:rsidR="00626E0A" w:rsidRDefault="00000000">
      <w:pPr>
        <w:keepNext/>
      </w:pPr>
      <w:r>
        <w:rPr>
          <w:b/>
        </w:rPr>
        <w:t xml:space="preserve">Marking guidance: </w:t>
      </w:r>
      <w:r>
        <w:t>Award 1 mark for each plausible negative impact suggested from Resource 6; credit a linked explanation, up to 5.</w:t>
      </w:r>
    </w:p>
    <w:p w14:paraId="40DE7A34" w14:textId="77777777" w:rsidR="00626E0A" w:rsidRDefault="00000000">
      <w:pPr>
        <w:pStyle w:val="ListBullet"/>
      </w:pPr>
      <w:r>
        <w:t>The cartoon shows that only a minority of the new flats are affordable, limiting access for lower-income households.</w:t>
      </w:r>
    </w:p>
    <w:p w14:paraId="320300C5" w14:textId="77777777" w:rsidR="00626E0A" w:rsidRDefault="00000000">
      <w:pPr>
        <w:pStyle w:val="ListBullet"/>
      </w:pPr>
      <w:r>
        <w:t>Reimaging can raise local rents and property values, displacing existing residents and intensifying segregation.</w:t>
      </w:r>
    </w:p>
    <w:p w14:paraId="38416447" w14:textId="77777777" w:rsidR="00626E0A" w:rsidRDefault="00000000">
      <w:pPr>
        <w:pStyle w:val="ListBullet"/>
      </w:pPr>
      <w:r>
        <w:t>Small living spaces or higher density may affect quality of life and pressure services.</w:t>
      </w:r>
    </w:p>
    <w:p w14:paraId="3FB0C20C" w14:textId="77777777" w:rsidR="00626E0A" w:rsidRDefault="00000000">
      <w:pPr>
        <w:pStyle w:val="Heading2"/>
      </w:pPr>
      <w:r>
        <w:t>2(d)  Using Resource 7, describe the changes in the sustainability of Dundee docks before and after urban reimaging.  [5]</w:t>
      </w:r>
    </w:p>
    <w:p w14:paraId="7B11206B" w14:textId="77777777" w:rsidR="00626E0A" w:rsidRDefault="00000000">
      <w:pPr>
        <w:keepNext/>
      </w:pPr>
      <w:r>
        <w:rPr>
          <w:b/>
        </w:rPr>
        <w:t xml:space="preserve">Marking guidance: </w:t>
      </w:r>
      <w:r>
        <w:t>Award 1 mark for each valid before-and-after description related to sustainability, up to 5. Credit cautious inference from Resource 7.</w:t>
      </w:r>
    </w:p>
    <w:p w14:paraId="5B15B5CF" w14:textId="77777777" w:rsidR="00626E0A" w:rsidRDefault="00000000">
      <w:pPr>
        <w:pStyle w:val="ListBullet"/>
      </w:pPr>
      <w:r>
        <w:t>Derelict warehouses in 2006 gave way to cultural and heritage uses, including the museum and the Royal Research Ship Discovery by 2018.</w:t>
      </w:r>
    </w:p>
    <w:p w14:paraId="6AECB9A9" w14:textId="77777777" w:rsidR="00626E0A" w:rsidRDefault="00000000">
      <w:pPr>
        <w:pStyle w:val="ListBullet"/>
      </w:pPr>
      <w:r>
        <w:t>Reuse of docklands may attract visitors and activity, improve the public realm and make more use of former industrial land.</w:t>
      </w:r>
    </w:p>
    <w:p w14:paraId="169B8514" w14:textId="77777777" w:rsidR="00626E0A" w:rsidRDefault="00000000">
      <w:pPr>
        <w:pStyle w:val="ListBullet"/>
      </w:pPr>
      <w:r>
        <w:t>Credit social, economic and environmental dimensions where supported by the images; avoid treating inferred outcomes as directly observed.</w:t>
      </w:r>
    </w:p>
    <w:p w14:paraId="674D0D55" w14:textId="77777777" w:rsidR="00626E0A" w:rsidRDefault="00000000">
      <w:pPr>
        <w:pStyle w:val="Heading2"/>
      </w:pPr>
      <w:r>
        <w:lastRenderedPageBreak/>
        <w:t>2(e)  With the use of example(s), explain how and why there might be tension between sustainable urban development and liveability.  [4]</w:t>
      </w:r>
    </w:p>
    <w:p w14:paraId="12055125" w14:textId="77777777" w:rsidR="00626E0A" w:rsidRDefault="00000000">
      <w:pPr>
        <w:keepNext/>
      </w:pPr>
      <w:r>
        <w:rPr>
          <w:b/>
        </w:rPr>
        <w:t xml:space="preserve">Marking guidance: </w:t>
      </w:r>
      <w:r>
        <w:t>Award 1 mark for each developed explanation of a tension, up to 4. Relevant example(s) are required.</w:t>
      </w:r>
    </w:p>
    <w:p w14:paraId="7106B50E" w14:textId="77777777" w:rsidR="00626E0A" w:rsidRDefault="00000000">
      <w:pPr>
        <w:pStyle w:val="ListBullet"/>
      </w:pPr>
      <w:r>
        <w:t>Green or heritage redevelopment may improve environmental quality and attract investment while increasing rents and displacing existing residents.</w:t>
      </w:r>
    </w:p>
    <w:p w14:paraId="295CD844" w14:textId="77777777" w:rsidR="00626E0A" w:rsidRDefault="00000000">
      <w:pPr>
        <w:pStyle w:val="ListBullet"/>
      </w:pPr>
      <w:r>
        <w:t>Compact development or transport restrictions may reduce emissions but create crowding, inconvenience or uneven costs for some groups.</w:t>
      </w:r>
    </w:p>
    <w:p w14:paraId="69E17E0B" w14:textId="77777777" w:rsidR="00626E0A" w:rsidRDefault="00000000">
      <w:pPr>
        <w:pStyle w:val="Heading1"/>
      </w:pPr>
      <w:r>
        <w:t>Question 3  Climate change  22 marks</w:t>
      </w:r>
    </w:p>
    <w:p w14:paraId="0AAD67EE" w14:textId="77777777" w:rsidR="00626E0A" w:rsidRDefault="00000000">
      <w:pPr>
        <w:pStyle w:val="Heading2"/>
      </w:pPr>
      <w:r>
        <w:t>3(a)  Using Resource 8, describe how atmospheric carbon dioxide concentration has changed over the past 800 000 years.  [4]</w:t>
      </w:r>
    </w:p>
    <w:p w14:paraId="3978D992" w14:textId="77777777" w:rsidR="00626E0A" w:rsidRDefault="00000000">
      <w:pPr>
        <w:keepNext/>
      </w:pPr>
      <w:r>
        <w:rPr>
          <w:b/>
        </w:rPr>
        <w:t xml:space="preserve">Marking guidance: </w:t>
      </w:r>
      <w:r>
        <w:t>Award 1 mark for each distinct and accurate description from Resource 8, up to 4.</w:t>
      </w:r>
    </w:p>
    <w:p w14:paraId="6C3F9426" w14:textId="77777777" w:rsidR="00626E0A" w:rsidRDefault="00000000">
      <w:pPr>
        <w:pStyle w:val="ListBullet"/>
      </w:pPr>
      <w:r>
        <w:t>CO₂ concentration fluctuated in repeated cycles over most of the last 800 000 years, with earlier peaks generally below about 300 ppm.</w:t>
      </w:r>
    </w:p>
    <w:p w14:paraId="5E235509" w14:textId="77777777" w:rsidR="00626E0A" w:rsidRDefault="00000000">
      <w:pPr>
        <w:pStyle w:val="ListBullet"/>
      </w:pPr>
      <w:r>
        <w:t>The recent increase is steep and exceptional, rising to about 423 ppm in 2024, well above the earlier range.</w:t>
      </w:r>
    </w:p>
    <w:p w14:paraId="0C823561" w14:textId="77777777" w:rsidR="00626E0A" w:rsidRDefault="00000000">
      <w:pPr>
        <w:pStyle w:val="Heading2"/>
      </w:pPr>
      <w:r>
        <w:t>3(b)  Explain how ice and ocean cores provide evidence for past climate variability.  [4]</w:t>
      </w:r>
    </w:p>
    <w:p w14:paraId="7A468E6B" w14:textId="77777777" w:rsidR="00626E0A" w:rsidRDefault="00000000">
      <w:pPr>
        <w:keepNext/>
      </w:pPr>
      <w:r>
        <w:rPr>
          <w:b/>
        </w:rPr>
        <w:t xml:space="preserve">Marking guidance: </w:t>
      </w:r>
      <w:r>
        <w:t>Award 1 mark for each relevant explanation, up to 4. Cover both ice and ocean cores; award at most 3 if only one is addressed.</w:t>
      </w:r>
    </w:p>
    <w:p w14:paraId="7FD2AA4F" w14:textId="77777777" w:rsidR="00626E0A" w:rsidRDefault="00000000">
      <w:pPr>
        <w:pStyle w:val="ListBullet"/>
      </w:pPr>
      <w:r>
        <w:t>Datable ice layers and trapped air bubbles reveal past atmospheric composition; oxygen-isotope ratios act as temperature proxies.</w:t>
      </w:r>
    </w:p>
    <w:p w14:paraId="4FDC9A40" w14:textId="77777777" w:rsidR="00626E0A" w:rsidRDefault="00000000">
      <w:pPr>
        <w:pStyle w:val="ListBullet"/>
      </w:pPr>
      <w:r>
        <w:t>Datable ocean sediments and the fossils or isotopes of marine organisms provide evidence of past ocean conditions and climatic change.</w:t>
      </w:r>
    </w:p>
    <w:p w14:paraId="5D166556" w14:textId="77777777" w:rsidR="00626E0A" w:rsidRDefault="00000000">
      <w:pPr>
        <w:pStyle w:val="Heading2"/>
      </w:pPr>
      <w:r>
        <w:t>3(c)  Using Resource 9, compare the sources of greenhouse gas emissions in UK and Ethiopia in 2023.  [4]</w:t>
      </w:r>
    </w:p>
    <w:p w14:paraId="3F3A7726" w14:textId="77777777" w:rsidR="00626E0A" w:rsidRDefault="00000000">
      <w:pPr>
        <w:keepNext/>
      </w:pPr>
      <w:r>
        <w:rPr>
          <w:b/>
        </w:rPr>
        <w:t xml:space="preserve">Marking guidance: </w:t>
      </w:r>
      <w:r>
        <w:t>Award 1 mark for each direct comparison of UK and Ethiopia; credit accurate data support from Resource 9, up to 4.</w:t>
      </w:r>
    </w:p>
    <w:p w14:paraId="40F9BDA7" w14:textId="77777777" w:rsidR="00626E0A" w:rsidRDefault="00000000">
      <w:pPr>
        <w:pStyle w:val="ListBullet"/>
      </w:pPr>
      <w:r>
        <w:t>Agriculture accounts for a much larger proportion in Ethiopia (68.8%) than in the UK (12.8%).</w:t>
      </w:r>
    </w:p>
    <w:p w14:paraId="47ED8922" w14:textId="77777777" w:rsidR="00626E0A" w:rsidRDefault="00000000">
      <w:pPr>
        <w:pStyle w:val="ListBullet"/>
      </w:pPr>
      <w:r>
        <w:t>Transport and energy supply make larger shares in the UK (28.9% and 21.6%) than Ethiopia (4.0% and 3.0%).</w:t>
      </w:r>
    </w:p>
    <w:p w14:paraId="7EB2B28B" w14:textId="77777777" w:rsidR="00626E0A" w:rsidRDefault="00000000">
      <w:pPr>
        <w:pStyle w:val="ListBullet"/>
      </w:pPr>
      <w:r>
        <w:t>The UK has a more distributed sector profile; waste and wastewater make a higher share in Ethiopia.</w:t>
      </w:r>
    </w:p>
    <w:p w14:paraId="28786C7E" w14:textId="77777777" w:rsidR="00626E0A" w:rsidRDefault="00000000">
      <w:pPr>
        <w:pStyle w:val="Heading2"/>
      </w:pPr>
      <w:r>
        <w:t>3(d)  Using Resource 10, describe the predicted changes to the extent of permafrost in northern Eurasia and North America.  [6]</w:t>
      </w:r>
    </w:p>
    <w:p w14:paraId="2EE6EA20" w14:textId="77777777" w:rsidR="00626E0A" w:rsidRDefault="00000000">
      <w:pPr>
        <w:keepNext/>
      </w:pPr>
      <w:r>
        <w:rPr>
          <w:b/>
        </w:rPr>
        <w:t xml:space="preserve">Marking guidance: </w:t>
      </w:r>
      <w:r>
        <w:t>Award 1 mark for each valid description of predicted spatial change, up to 6. Credit overall retreat, variation by time and named locations shown in Resource 10.</w:t>
      </w:r>
    </w:p>
    <w:p w14:paraId="6BB0AAFC" w14:textId="77777777" w:rsidR="00626E0A" w:rsidRDefault="00000000">
      <w:pPr>
        <w:pStyle w:val="ListBullet"/>
      </w:pPr>
      <w:r>
        <w:t>Permafrost extent is predicted to shrink unevenly, initially along southern margins and then farther north and inland between 2050 and 2100.</w:t>
      </w:r>
    </w:p>
    <w:p w14:paraId="739C6BD2" w14:textId="77777777" w:rsidR="00626E0A" w:rsidRDefault="00000000">
      <w:pPr>
        <w:pStyle w:val="ListBullet"/>
      </w:pPr>
      <w:r>
        <w:t>Thawing is projected in parts of northern Eurasia, including the Russian Federation, and across parts of Alaska and Canada; permafrost remains in some northernmost areas.</w:t>
      </w:r>
    </w:p>
    <w:p w14:paraId="52E1553E" w14:textId="77777777" w:rsidR="00626E0A" w:rsidRDefault="00000000">
      <w:pPr>
        <w:pStyle w:val="ListBullet"/>
      </w:pPr>
      <w:r>
        <w:t>Credit accurate detail for northern Scandinavia or Greenland where visible, and the increasing fragmentation of the remaining extent.</w:t>
      </w:r>
    </w:p>
    <w:p w14:paraId="29901267" w14:textId="77777777" w:rsidR="00626E0A" w:rsidRDefault="00000000">
      <w:pPr>
        <w:pStyle w:val="Heading2"/>
      </w:pPr>
      <w:r>
        <w:t>3(e)  Explain why there is uncertainty over the future impacts of contemporary climate change.  [4]</w:t>
      </w:r>
    </w:p>
    <w:p w14:paraId="171EBBF5" w14:textId="77777777" w:rsidR="00626E0A" w:rsidRDefault="00000000">
      <w:pPr>
        <w:keepNext/>
      </w:pPr>
      <w:r>
        <w:rPr>
          <w:b/>
        </w:rPr>
        <w:t xml:space="preserve">Marking guidance: </w:t>
      </w:r>
      <w:r>
        <w:t>Award 1 mark for each distinct reason explained, up to 4.</w:t>
      </w:r>
    </w:p>
    <w:p w14:paraId="111D64DF" w14:textId="77777777" w:rsidR="00626E0A" w:rsidRDefault="00000000">
      <w:pPr>
        <w:pStyle w:val="ListBullet"/>
      </w:pPr>
      <w:r>
        <w:t>Future emissions depend on uncertain policies, technologies and development pathways.</w:t>
      </w:r>
    </w:p>
    <w:p w14:paraId="2FB381B3" w14:textId="77777777" w:rsidR="00626E0A" w:rsidRDefault="00000000">
      <w:pPr>
        <w:pStyle w:val="ListBullet"/>
      </w:pPr>
      <w:r>
        <w:t>Climate feedbacks, tipping points and model or observation limits affect projections.</w:t>
      </w:r>
    </w:p>
    <w:p w14:paraId="14837CD5" w14:textId="77777777" w:rsidR="00626E0A" w:rsidRDefault="00000000">
      <w:pPr>
        <w:pStyle w:val="ListBullet"/>
      </w:pPr>
      <w:r>
        <w:t>Future exposure, vulnerability and adaptation determine the severity of impacts in different places.</w:t>
      </w:r>
    </w:p>
    <w:p w14:paraId="1358B1D3" w14:textId="77777777" w:rsidR="00626E0A" w:rsidRDefault="00000000">
      <w:pPr>
        <w:pStyle w:val="Heading1"/>
      </w:pPr>
      <w:r>
        <w:lastRenderedPageBreak/>
        <w:t>Section C  Essays  13 marks each</w:t>
      </w:r>
    </w:p>
    <w:p w14:paraId="4C8FD9A7" w14:textId="77777777" w:rsidR="00626E0A" w:rsidRDefault="00000000">
      <w:pPr>
        <w:pStyle w:val="Heading2"/>
      </w:pPr>
      <w:proofErr w:type="gramStart"/>
      <w:r>
        <w:t>4  Evaluate</w:t>
      </w:r>
      <w:proofErr w:type="gramEnd"/>
      <w:r>
        <w:t xml:space="preserve"> the success of strategies to improve the lives of slum dwellers.  [13]</w:t>
      </w:r>
    </w:p>
    <w:p w14:paraId="459DCCBC" w14:textId="77777777" w:rsidR="00626E0A" w:rsidRDefault="00000000">
      <w:pPr>
        <w:keepNext/>
      </w:pPr>
      <w:r>
        <w:rPr>
          <w:b/>
        </w:rPr>
        <w:t>Possible Approach:</w:t>
      </w:r>
    </w:p>
    <w:p w14:paraId="51C425CE" w14:textId="77777777" w:rsidR="00626E0A" w:rsidRDefault="00000000">
      <w:r>
        <w:t>Candidates could compare approaches to improving living conditions in slums, considering their effects on housing, services, livelihoods and security. Different strategies may be assessed in one or more urban contexts.</w:t>
      </w:r>
    </w:p>
    <w:p w14:paraId="6CEB440C" w14:textId="77777777" w:rsidR="00626E0A" w:rsidRDefault="00000000">
      <w:r>
        <w:t>Candidates could judge whether success varies by affordability, reach, residents’ participation and the capacity to sustain improvements. Relevant examples may support different conclusions.</w:t>
      </w:r>
    </w:p>
    <w:p w14:paraId="189E7600" w14:textId="77777777" w:rsidR="00626E0A" w:rsidRDefault="00000000">
      <w:pPr>
        <w:pStyle w:val="Heading2"/>
      </w:pPr>
      <w:r>
        <w:t>5  Evaluate the issues faced by women living in the city.  [13]</w:t>
      </w:r>
    </w:p>
    <w:p w14:paraId="1221985F" w14:textId="77777777" w:rsidR="00626E0A" w:rsidRDefault="00000000">
      <w:pPr>
        <w:keepNext/>
      </w:pPr>
      <w:r>
        <w:rPr>
          <w:b/>
        </w:rPr>
        <w:t>Possible Approach:</w:t>
      </w:r>
    </w:p>
    <w:p w14:paraId="2DDF3B18" w14:textId="77777777" w:rsidR="00626E0A" w:rsidRDefault="00000000">
      <w:r>
        <w:t>Candidates could examine economic, social and personal safety issues faced by women in cities and the ways these issues affect access to urban opportunities and everyday life.</w:t>
      </w:r>
    </w:p>
    <w:p w14:paraId="67EAE59A" w14:textId="77777777" w:rsidR="00626E0A" w:rsidRDefault="00000000">
      <w:r>
        <w:t>Candidates could judge which issues are most significant for different groups of women and in different urban contexts, recognising that the challenges may reinforce one another.</w:t>
      </w:r>
    </w:p>
    <w:p w14:paraId="397735A3" w14:textId="77777777" w:rsidR="00626E0A" w:rsidRDefault="00000000">
      <w:pPr>
        <w:pStyle w:val="Heading2"/>
      </w:pPr>
      <w:r>
        <w:t>6  Evaluate the success of adaptation strategies in responding to contemporary climate change.  [13]</w:t>
      </w:r>
    </w:p>
    <w:p w14:paraId="2D518F40" w14:textId="77777777" w:rsidR="00626E0A" w:rsidRDefault="00000000">
      <w:pPr>
        <w:keepNext/>
      </w:pPr>
      <w:r>
        <w:rPr>
          <w:b/>
        </w:rPr>
        <w:t>Possible Approach:</w:t>
      </w:r>
    </w:p>
    <w:p w14:paraId="2CF14658" w14:textId="77777777" w:rsidR="00626E0A" w:rsidRDefault="00000000">
      <w:r>
        <w:t>Candidates could compare adaptation strategies used to reduce exposure or vulnerability to climate change impacts in different places. They may consider what each strategy achieves and its practical limits.</w:t>
      </w:r>
    </w:p>
    <w:p w14:paraId="3F246B5F" w14:textId="77777777" w:rsidR="00626E0A" w:rsidRDefault="00000000">
      <w:r>
        <w:t>Candidates could judge success by its scale, durability, equity and suitability to the local hazard and available resources. Responses may recognise that adaptation cannot remove every future risk.</w:t>
      </w:r>
    </w:p>
    <w:sectPr w:rsidR="00626E0A" w:rsidSect="00034616">
      <w:pgSz w:w="11909" w:h="16834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E47D2" w14:textId="77777777" w:rsidR="00F67C0B" w:rsidRDefault="00F67C0B">
      <w:pPr>
        <w:spacing w:after="0" w:line="240" w:lineRule="auto"/>
      </w:pPr>
      <w:r>
        <w:separator/>
      </w:r>
    </w:p>
  </w:endnote>
  <w:endnote w:type="continuationSeparator" w:id="0">
    <w:p w14:paraId="3EFD34C0" w14:textId="77777777" w:rsidR="00F67C0B" w:rsidRDefault="00F67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BB036" w14:textId="77777777" w:rsidR="00F67C0B" w:rsidRDefault="00F67C0B">
      <w:pPr>
        <w:spacing w:after="0" w:line="240" w:lineRule="auto"/>
      </w:pPr>
      <w:r>
        <w:separator/>
      </w:r>
    </w:p>
  </w:footnote>
  <w:footnote w:type="continuationSeparator" w:id="0">
    <w:p w14:paraId="316DCDCB" w14:textId="77777777" w:rsidR="00F67C0B" w:rsidRDefault="00F67C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9888472">
    <w:abstractNumId w:val="8"/>
  </w:num>
  <w:num w:numId="2" w16cid:durableId="1783383588">
    <w:abstractNumId w:val="6"/>
  </w:num>
  <w:num w:numId="3" w16cid:durableId="2018384446">
    <w:abstractNumId w:val="5"/>
  </w:num>
  <w:num w:numId="4" w16cid:durableId="631205742">
    <w:abstractNumId w:val="4"/>
  </w:num>
  <w:num w:numId="5" w16cid:durableId="816723414">
    <w:abstractNumId w:val="7"/>
  </w:num>
  <w:num w:numId="6" w16cid:durableId="712270400">
    <w:abstractNumId w:val="3"/>
  </w:num>
  <w:num w:numId="7" w16cid:durableId="1631209649">
    <w:abstractNumId w:val="2"/>
  </w:num>
  <w:num w:numId="8" w16cid:durableId="1764952115">
    <w:abstractNumId w:val="1"/>
  </w:num>
  <w:num w:numId="9" w16cid:durableId="435833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C37"/>
    <w:rsid w:val="00326F90"/>
    <w:rsid w:val="00626E0A"/>
    <w:rsid w:val="007E4A60"/>
    <w:rsid w:val="009804A7"/>
    <w:rsid w:val="00AA1D8D"/>
    <w:rsid w:val="00B47730"/>
    <w:rsid w:val="00B943B9"/>
    <w:rsid w:val="00CB0664"/>
    <w:rsid w:val="00F67C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EBD85B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AF3A2E-D83F-400B-BA65-62C864A4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1643</Words>
  <Characters>9371</Characters>
  <Application>Microsoft Office Word</Application>
  <DocSecurity>0</DocSecurity>
  <Lines>78</Lines>
  <Paragraphs>21</Paragraphs>
  <ScaleCrop>false</ScaleCrop>
  <Manager/>
  <Company/>
  <LinksUpToDate>false</LinksUpToDate>
  <CharactersWithSpaces>10993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2026-09-27T08:34:00Z</dcterms:created>
  <dcterms:modified xsi:type="dcterms:W3CDTF">2026-09-27T08:35:00Z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2026-09-27T08:35:03Z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f1122c72-7862-445a-8e6d-cc35c14c5519</vt:lpwstr>
  </property>
  <property fmtid="{D5CDD505-2E9C-101B-9397-08002B2CF9AE}" pid="8" name="MSIP_Label_5fb06199-574a-4a73-a110-6e35d3b9f147_ContentBits">
    <vt:lpwstr>0</vt:lpwstr>
  </property>
  <property fmtid="{D5CDD505-2E9C-101B-9397-08002B2CF9AE}" pid="9" name="MSIP_Label_5fb06199-574a-4a73-a110-6e35d3b9f147_Tag">
    <vt:lpwstr>10, 0, 1, 1</vt:lpwstr>
  </property>
</Properties>
</file>