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Items to Review — v0.3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1. Fieldwork questions filed under "Others"</w:t>
      </w:r>
    </w:p>
    <w:p>
      <w:r>
        <w:rPr>
          <w:i/>
          <w:color w:val="595959"/>
          <w:sz w:val="18"/>
        </w:rPr>
        <w:t>These fieldwork scenarios do not match a syllabus fieldwork area (H1: Community response to climate change; Needs analysis of the elderly. H2 adds: Fluvial flood risk). They are filed under "Fieldwork – Others" for now. Tell me which area each should go under. (2024 fieldwork questions will be checked in the full build.)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Paper / Q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Fieldwork scenario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Nearest syllabus area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Food waste reduction initiatives (community fridge, food rescue), Bishan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Youth textile recycling &amp; upcycling, Serangoon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expansion of cycling paths,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Beverage Container Return Scheme ("Return Right") participation by age, Bukit Panjang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Perceptions of sustainable healthy diets, Fremantle (Australia)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E-waste recycling &amp; repair by age,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Resource conservation features at City Square Mall (eco-mall), Jalan Besar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2. Files left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2026 JC2 H1 Prelims QP.docx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Password-protected – not included (no VJC 2026 row in the H1 table)</w:t>
            </w:r>
          </w:p>
        </w:tc>
      </w:tr>
    </w:tbl>
    <w:p>
      <w:pPr>
        <w:pStyle w:val="Heading1"/>
      </w:pPr>
      <w:r>
        <w:t>3. Problems in question papers / inserts</w:t>
      </w:r>
    </w:p>
    <w:p>
      <w:r>
        <w:rPr>
          <w:i/>
          <w:color w:val="595959"/>
          <w:sz w:val="18"/>
        </w:rPr>
        <w:t>Mismatches between a question and its resources, as printed by the school. Questions are copied as printed; check these before using them. (Sample entries – the full list comes with the full build.)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Paper / Q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Problem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 labels Resources 7–9 "for Question 2", but they are used in Q3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EJC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Question refers to Resources 5A/5B; the Insert only has Resource 5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Stem describes Resource 6 as a CO₂-per-capita map; Insert R6 is plastic-waste shares and R7 is Smokey Mountain slum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