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H1 Fieldwork Questions by Topic (8834 Sec A) — v0.3 (PREVIEW)</w:t>
      </w:r>
    </w:p>
    <w:p>
      <w:r>
        <w:rPr>
          <w:i/>
          <w:color w:val="595959"/>
          <w:sz w:val="18"/>
        </w:rPr>
        <w:t>Topics follow the SEAB syllabus: H1 Geography 8834 (2026) and H2 Geography 9173 (2026).</w:t>
      </w:r>
    </w:p>
    <w:p>
      <w:pPr>
        <w:pStyle w:val="Heading1"/>
      </w:pPr>
      <w:r>
        <w:t>Cluster 2: Fieldwork</w:t>
      </w:r>
    </w:p>
    <w:p>
      <w:pPr>
        <w:pStyle w:val="Heading2"/>
      </w:pPr>
      <w:r>
        <w:t>Fieldwork – Elderly needs</w:t>
      </w:r>
    </w:p>
    <w:p>
      <w:pPr>
        <w:pStyle w:val="Heading3"/>
      </w:pPr>
      <w:r>
        <w:t>ACJC 2024 — H1 Paper 1 (8834/01), Q1  [30 marks]</w:t>
      </w:r>
    </w:p>
    <w:p>
      <w:r>
        <w:rPr>
          <w:i/>
          <w:color w:val="595959"/>
          <w:sz w:val="17"/>
        </w:rPr>
        <w:t>Syllabus: 2 Fieldwork   |   Fieldwork area: Elderly needs</w:t>
      </w:r>
    </w:p>
    <w:p>
      <w:r>
        <w:rPr>
          <w:b/>
          <w:color w:val="595959"/>
          <w:sz w:val="17"/>
        </w:rPr>
        <w:t>Section A — Cluster 2 Fieldwork</w:t>
      </w:r>
    </w:p>
    <w:p>
      <w:pPr>
        <w:spacing w:after="80"/>
      </w:pPr>
      <w:r>
        <w:t>A group of students conducted a fieldwork investigation on the accessibility of transportation and quality of outdoor spaces for the elderly in Bukit Merah. The focus of their investigation was to assess how well the community's infrastructure supports the elderly in staying active and independent. The hypothesis for their study was:</w:t>
      </w:r>
    </w:p>
    <w:p>
      <w:pPr>
        <w:spacing w:after="80"/>
      </w:pPr>
      <w:r>
        <w:t>‘Public transportation and outdoor spaces in Bukit Merah do not adequately meet the needs of elderly residents.’</w:t>
      </w:r>
    </w:p>
    <w:p>
      <w:pPr>
        <w:spacing w:after="80"/>
      </w:pPr>
      <w:r>
        <w:t>The students conducted the investigation over two weekdays in August, between 9am and 12pm. The two main locations selected were the Bukit Merah Bus Interchange and the Tiong Bahru Plaza shopping mall. These locations were chosen based on their accessibility and frequency of use by elderly residents. The students decided to collect data by conducting a survey and taking photographs of the area.</w:t>
      </w:r>
    </w:p>
    <w:p>
      <w:pPr>
        <w:spacing w:after="80"/>
      </w:pPr>
      <w:r>
        <w:t>A total of 30 elderly respondents, aged 60 and above, participated in the survey. The aim was to gather data on their experiences with transportation and outdoor spaces.</w:t>
      </w:r>
    </w:p>
    <w:p>
      <w:pPr>
        <w:spacing w:after="80"/>
      </w:pPr>
      <w:r>
        <w:t>Resource 1 shows photographs of Bukit Merah Bus Interchange and Tiong Bahru Plaza shopping mall. Resource 2 shows the survey that the students used. Resource 3 shows selected results of the survey.</w:t>
      </w:r>
    </w:p>
    <w:p>
      <w:pPr>
        <w:tabs>
          <w:tab w:pos="567" w:val="left"/>
          <w:tab w:pos="10206" w:val="right"/>
        </w:tabs>
        <w:spacing w:after="80"/>
        <w:ind w:left="567" w:hanging="567"/>
      </w:pPr>
      <w:r>
        <w:t>(a)</w:t>
        <w:tab/>
        <w:t>Explain why this hypothesis is appropriate for the investigation.</w:t>
        <w:tab/>
        <w:t>[4]</w:t>
      </w:r>
    </w:p>
    <w:p>
      <w:pPr>
        <w:tabs>
          <w:tab w:pos="567" w:val="left"/>
          <w:tab w:pos="10206" w:val="right"/>
        </w:tabs>
        <w:spacing w:after="80"/>
        <w:ind w:left="567" w:hanging="567"/>
      </w:pPr>
      <w:r>
        <w:t>(b)</w:t>
        <w:tab/>
        <w:t>Describe how the students can improve the sampling method used in their investigation.</w:t>
        <w:tab/>
        <w:t>[3]</w:t>
      </w:r>
    </w:p>
    <w:p>
      <w:pPr>
        <w:tabs>
          <w:tab w:pos="567" w:val="left"/>
          <w:tab w:pos="10206" w:val="right"/>
        </w:tabs>
        <w:spacing w:after="80"/>
        <w:ind w:left="567" w:hanging="567"/>
      </w:pPr>
      <w:r>
        <w:t>(c)</w:t>
        <w:tab/>
        <w:t>With reference to Resources 1 and 2, explain two possible issues related to ethics when students collect primary data.</w:t>
        <w:tab/>
        <w:t>[4]</w:t>
      </w:r>
    </w:p>
    <w:p>
      <w:pPr>
        <w:tabs>
          <w:tab w:pos="567" w:val="left"/>
          <w:tab w:pos="10206" w:val="right"/>
        </w:tabs>
        <w:spacing w:after="80"/>
        <w:ind w:left="567" w:hanging="567"/>
      </w:pPr>
      <w:r>
        <w:t>(d)</w:t>
        <w:tab/>
        <w:t>With reference to Resource 1, suggest how the students could minimise potential risks when they undertake fieldwork at Bukit Merah Bus Interchange and Tiong Bahru Plaza shopping mall.</w:t>
        <w:tab/>
        <w:t>[6]</w:t>
      </w:r>
    </w:p>
    <w:p>
      <w:pPr>
        <w:tabs>
          <w:tab w:pos="567" w:val="left"/>
          <w:tab w:pos="10206" w:val="right"/>
        </w:tabs>
        <w:spacing w:after="80"/>
        <w:ind w:left="567" w:hanging="567"/>
      </w:pPr>
      <w:r>
        <w:t>(e)</w:t>
        <w:tab/>
        <w:t>With reference to Resource 3, explain the limitations of the data representation shown.</w:t>
        <w:tab/>
        <w:t>[3]</w:t>
      </w:r>
    </w:p>
    <w:p>
      <w:pPr>
        <w:tabs>
          <w:tab w:pos="567" w:val="left"/>
          <w:tab w:pos="10206" w:val="right"/>
        </w:tabs>
        <w:spacing w:after="80"/>
        <w:ind w:left="567" w:hanging="567"/>
      </w:pPr>
      <w:r>
        <w:t>(f)</w:t>
        <w:tab/>
        <w:t>Evaluate the validity of the data shown in Resource 3 in answering the hypothesis.</w:t>
        <w:tab/>
        <w:t>[10]</w:t>
      </w:r>
    </w:p>
    <w:p/>
    <w:p>
      <w:pPr>
        <w:jc w:val="center"/>
      </w:pPr>
      <w:r>
        <w:drawing>
          <wp:inline xmlns:a="http://schemas.openxmlformats.org/drawingml/2006/main" xmlns:pic="http://schemas.openxmlformats.org/drawingml/2006/picture">
            <wp:extent cx="5580000" cy="7208519"/>
            <wp:docPr id="1" name="Picture 1"/>
            <wp:cNvGraphicFramePr>
              <a:graphicFrameLocks noChangeAspect="1"/>
            </wp:cNvGraphicFramePr>
            <a:graphic>
              <a:graphicData uri="http://schemas.openxmlformats.org/drawingml/2006/picture">
                <pic:pic>
                  <pic:nvPicPr>
                    <pic:cNvPr id="0" name="R1.png"/>
                    <pic:cNvPicPr/>
                  </pic:nvPicPr>
                  <pic:blipFill>
                    <a:blip r:embed="rId9"/>
                    <a:stretch>
                      <a:fillRect/>
                    </a:stretch>
                  </pic:blipFill>
                  <pic:spPr>
                    <a:xfrm>
                      <a:off x="0" y="0"/>
                      <a:ext cx="5580000" cy="7208519"/>
                    </a:xfrm>
                    <a:prstGeom prst="rect"/>
                  </pic:spPr>
                </pic:pic>
              </a:graphicData>
            </a:graphic>
          </wp:inline>
        </w:drawing>
      </w:r>
    </w:p>
    <w:p/>
    <w:p>
      <w:pPr>
        <w:jc w:val="center"/>
      </w:pPr>
      <w:r>
        <w:drawing>
          <wp:inline xmlns:a="http://schemas.openxmlformats.org/drawingml/2006/main" xmlns:pic="http://schemas.openxmlformats.org/drawingml/2006/picture">
            <wp:extent cx="5580000" cy="4198762"/>
            <wp:docPr id="2" name="Picture 2"/>
            <wp:cNvGraphicFramePr>
              <a:graphicFrameLocks noChangeAspect="1"/>
            </wp:cNvGraphicFramePr>
            <a:graphic>
              <a:graphicData uri="http://schemas.openxmlformats.org/drawingml/2006/picture">
                <pic:pic>
                  <pic:nvPicPr>
                    <pic:cNvPr id="0" name="R2.png"/>
                    <pic:cNvPicPr/>
                  </pic:nvPicPr>
                  <pic:blipFill>
                    <a:blip r:embed="rId10"/>
                    <a:stretch>
                      <a:fillRect/>
                    </a:stretch>
                  </pic:blipFill>
                  <pic:spPr>
                    <a:xfrm>
                      <a:off x="0" y="0"/>
                      <a:ext cx="5580000" cy="4198762"/>
                    </a:xfrm>
                    <a:prstGeom prst="rect"/>
                  </pic:spPr>
                </pic:pic>
              </a:graphicData>
            </a:graphic>
          </wp:inline>
        </w:drawing>
      </w:r>
    </w:p>
    <w:p/>
    <w:p>
      <w:pPr>
        <w:jc w:val="center"/>
      </w:pPr>
      <w:r>
        <w:drawing>
          <wp:inline xmlns:a="http://schemas.openxmlformats.org/drawingml/2006/main" xmlns:pic="http://schemas.openxmlformats.org/drawingml/2006/picture">
            <wp:extent cx="5580000" cy="4827302"/>
            <wp:docPr id="3" name="Picture 3"/>
            <wp:cNvGraphicFramePr>
              <a:graphicFrameLocks noChangeAspect="1"/>
            </wp:cNvGraphicFramePr>
            <a:graphic>
              <a:graphicData uri="http://schemas.openxmlformats.org/drawingml/2006/picture">
                <pic:pic>
                  <pic:nvPicPr>
                    <pic:cNvPr id="0" name="R3.png"/>
                    <pic:cNvPicPr/>
                  </pic:nvPicPr>
                  <pic:blipFill>
                    <a:blip r:embed="rId11"/>
                    <a:stretch>
                      <a:fillRect/>
                    </a:stretch>
                  </pic:blipFill>
                  <pic:spPr>
                    <a:xfrm>
                      <a:off x="0" y="0"/>
                      <a:ext cx="5580000" cy="4827302"/>
                    </a:xfrm>
                    <a:prstGeom prst="rect"/>
                  </pic:spPr>
                </pic:pic>
              </a:graphicData>
            </a:graphic>
          </wp:inline>
        </w:drawing>
      </w:r>
    </w:p>
    <w:p/>
    <w:sectPr w:rsidR="00FC693F" w:rsidRPr="0006063C" w:rsidSect="00034616">
      <w:pgSz w:w="11906" w:h="16838"/>
      <w:pgMar w:top="850" w:right="850" w:bottom="850" w:left="85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color w:val="17365D" w:themeColor="text2" w:themeShade="BF"/>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