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H2 Fieldwork Questions by Topic (9173 P2 Sec A) — v0.3 (PREVIEW)</w:t>
      </w:r>
    </w:p>
    <w:p>
      <w:r>
        <w:rPr>
          <w:i/>
          <w:color w:val="595959"/>
          <w:sz w:val="18"/>
        </w:rPr>
        <w:t>Topics follow the SEAB syllabus: H1 Geography 8834 (2026) and H2 Geography 9173 (2026).</w:t>
      </w:r>
    </w:p>
    <w:p>
      <w:pPr>
        <w:pStyle w:val="Heading1"/>
      </w:pPr>
      <w:r>
        <w:t>Cluster 4: Fieldwork</w:t>
      </w:r>
    </w:p>
    <w:p>
      <w:pPr>
        <w:pStyle w:val="Heading2"/>
      </w:pPr>
      <w:r>
        <w:t>Fieldwork – Fluvial flood risk</w:t>
      </w:r>
    </w:p>
    <w:p>
      <w:pPr>
        <w:pStyle w:val="Heading3"/>
      </w:pPr>
      <w:r>
        <w:t>ACJC 2024 — H2 Paper 2 (9173/02), Q1  [30 marks]</w:t>
      </w:r>
    </w:p>
    <w:p>
      <w:r>
        <w:rPr>
          <w:i/>
          <w:color w:val="595959"/>
          <w:sz w:val="17"/>
        </w:rPr>
        <w:t>Syllabus: 4 Fieldwork   |   Fieldwork area: Fluvial flood risk</w:t>
      </w:r>
    </w:p>
    <w:p>
      <w:r>
        <w:rPr>
          <w:b/>
          <w:color w:val="595959"/>
          <w:sz w:val="17"/>
        </w:rPr>
        <w:t>Section A — Cluster 4 Fieldwork</w:t>
      </w:r>
    </w:p>
    <w:p>
      <w:pPr>
        <w:spacing w:after="80"/>
      </w:pPr>
      <w:r>
        <w:t>A group of six students worked on an investigation on flood risk around the Punggol Waterway which flows through the Punggol Waterway Park and Punggol residential estate. The Punggol Waterway connects the Serangoon River in the east to the Punggol River in the west. These three bodies of waters are dammed to create the Punggol-Serangoon Reservoir. They selected two sites X and Y along the Punggol Waterway for their investigation.</w:t>
      </w:r>
    </w:p>
    <w:p>
      <w:pPr>
        <w:spacing w:after="80"/>
      </w:pPr>
      <w:r>
        <w:t>Their hypothesis is that flood risk is higher in built-up areas relative to vegetated areas.</w:t>
      </w:r>
    </w:p>
    <w:p>
      <w:pPr>
        <w:spacing w:after="80"/>
      </w:pPr>
      <w:r>
        <w:t>To assess the flood risk of the Punggol Waterway Park and Punggol residential estate, they collect data on infiltration rates and selected river variables. They collected data on a weekend in November from 9 am to 4 pm. At each site, two students worked on the infiltration test, while four worked on collecting data on selected river variables. All six of them worked at site X, and then then moved onto site Y after lunch.</w:t>
      </w:r>
    </w:p>
    <w:p>
      <w:pPr>
        <w:spacing w:after="80"/>
      </w:pPr>
      <w:r>
        <w:t>For infiltration, the students chose a location at each site, as shown in Resource 2. The equipment used included an infiltrometer made of white plastic tubing with a diameter of 10 cm and a height of 30 cm. The infiltrometer was hammered into the ground using a pebble found nearby. A student used a pail to fetch water from the river for the infiltration test. Water was poured to the top of the infiltrometer, and using a stopwatch, the water level dropping in the infiltrometer was read every 5 minutes. When water reached the base of the infiltrometer, water was poured into the infiltrometer again.</w:t>
      </w:r>
    </w:p>
    <w:p>
      <w:pPr>
        <w:spacing w:after="80"/>
      </w:pPr>
      <w:r>
        <w:t>For the river variables, the following data were collected:</w:t>
      </w:r>
    </w:p>
    <w:p>
      <w:pPr>
        <w:spacing w:after="80"/>
      </w:pPr>
      <w:r>
        <w:t>• Channel width – Two students on the footbridge that span the river at each site used a tape measure to stretch across the bridge to measure the river width from above.</w:t>
      </w:r>
    </w:p>
    <w:p>
      <w:pPr>
        <w:spacing w:after="80"/>
      </w:pPr>
      <w:r>
        <w:t>• Channel depth – This was obtained by extending a long nylon string with a plumb bob (weight) from the bridge at regular intervals of 5 metres across the span of the footbridge from one river to the opposite bank. The plumb bob was lowered into the river to touch the river bed, and the river depth was obtained by measuring the length of the string and the plumb bob.</w:t>
      </w:r>
    </w:p>
    <w:p>
      <w:pPr>
        <w:spacing w:after="80"/>
      </w:pPr>
      <w:r>
        <w:t>• River velocity – This was measured using a floating orange to travel a 5-metre distance along the river. Velocity readings were taken once at each site.</w:t>
      </w:r>
    </w:p>
    <w:p>
      <w:pPr>
        <w:spacing w:after="80"/>
      </w:pPr>
      <w:r>
        <w:t>Resource 1 is a land use map of the area adjacent to the Punggol Waterway, showing sites X and Y on the river. Resource 2 shows the photographs of sites X and Y. Resource 3 shows the infiltration rates at site X and site Y. Resource 4 shows the results of the river investigation.</w:t>
      </w:r>
    </w:p>
    <w:p>
      <w:pPr>
        <w:tabs>
          <w:tab w:pos="567" w:val="left"/>
          <w:tab w:pos="10206" w:val="right"/>
        </w:tabs>
        <w:spacing w:after="80"/>
        <w:ind w:left="567" w:hanging="567"/>
      </w:pPr>
      <w:r>
        <w:t>(a)</w:t>
        <w:tab/>
        <w:t>Explain if the students’ hypothesis and choice of sites are appropriate.</w:t>
        <w:tab/>
        <w:t>[4]</w:t>
      </w:r>
    </w:p>
    <w:p>
      <w:pPr>
        <w:tabs>
          <w:tab w:pos="567" w:val="left"/>
          <w:tab w:pos="10206" w:val="right"/>
        </w:tabs>
        <w:spacing w:after="80"/>
        <w:ind w:left="567" w:hanging="567"/>
      </w:pPr>
      <w:r>
        <w:t>(b)</w:t>
        <w:tab/>
        <w:t>With reference to Resources 1 and 2, describe how the students could reduce the impacts of their investigation.</w:t>
        <w:tab/>
        <w:t>[4]</w:t>
      </w:r>
    </w:p>
    <w:p>
      <w:pPr>
        <w:tabs>
          <w:tab w:pos="567" w:val="left"/>
          <w:tab w:pos="10206" w:val="right"/>
        </w:tabs>
        <w:spacing w:after="80"/>
        <w:ind w:left="567" w:hanging="567"/>
      </w:pPr>
      <w:r>
        <w:t>(c)</w:t>
        <w:tab/>
        <w:t>Explain how the students can mitigate the potential risks of their fieldwork investigation at the sites shown in Resource 2.</w:t>
        <w:tab/>
        <w:t>[6]</w:t>
      </w:r>
    </w:p>
    <w:p>
      <w:pPr>
        <w:tabs>
          <w:tab w:pos="567" w:val="left"/>
          <w:tab w:pos="10206" w:val="right"/>
        </w:tabs>
        <w:spacing w:after="80"/>
        <w:ind w:left="567" w:hanging="567"/>
      </w:pPr>
      <w:r>
        <w:t>(d)</w:t>
        <w:tab/>
        <w:t>Explain how the reliability of the infiltration and river data shown in Resources 3 and 4 can be improved.</w:t>
        <w:tab/>
        <w:t>[6]</w:t>
      </w:r>
    </w:p>
    <w:p>
      <w:pPr>
        <w:tabs>
          <w:tab w:pos="567" w:val="left"/>
          <w:tab w:pos="10206" w:val="right"/>
        </w:tabs>
        <w:spacing w:after="80"/>
        <w:ind w:left="567" w:hanging="567"/>
      </w:pPr>
      <w:r>
        <w:t>(e)</w:t>
        <w:tab/>
        <w:t>Explain the data that the students should gather if they were to conduct a supplementary questionnaire survey on flood risk in the Punggol area.</w:t>
        <w:tab/>
        <w:t>[5]</w:t>
      </w:r>
    </w:p>
    <w:p>
      <w:pPr>
        <w:tabs>
          <w:tab w:pos="567" w:val="left"/>
          <w:tab w:pos="10206" w:val="right"/>
        </w:tabs>
        <w:spacing w:after="80"/>
        <w:ind w:left="567" w:hanging="567"/>
      </w:pPr>
      <w:r>
        <w:t>(f)</w:t>
        <w:tab/>
        <w:t>Explain the extent of the usefulness of the river data shown in Resource 4 in the investigation of flood risk.</w:t>
        <w:tab/>
        <w:t>[5]</w:t>
      </w:r>
    </w:p>
    <w:p>
      <w:pPr>
        <w:tabs>
          <w:tab w:pos="567" w:val="left"/>
          <w:tab w:pos="10206" w:val="right"/>
        </w:tabs>
        <w:spacing w:after="80"/>
        <w:ind w:left="567" w:hanging="567"/>
      </w:pPr>
      <w:r>
        <w:t>(g)</w:t>
        <w:tab/>
        <w:t>The student concluded that vegetated areas show lower flood risk compared to built-up areas. With reference to Resources 1, 2, 3 and 4, evaluate the validity of the students’ conclusion.</w:t>
        <w:tab/>
        <w:t>[10]</w:t>
      </w:r>
    </w:p>
    <w:p/>
    <w:p>
      <w:pPr>
        <w:jc w:val="center"/>
      </w:pPr>
      <w:r>
        <w:drawing>
          <wp:inline xmlns:a="http://schemas.openxmlformats.org/drawingml/2006/main" xmlns:pic="http://schemas.openxmlformats.org/drawingml/2006/picture">
            <wp:extent cx="5580000" cy="6448104"/>
            <wp:docPr id="1" name="Picture 1"/>
            <wp:cNvGraphicFramePr>
              <a:graphicFrameLocks noChangeAspect="1"/>
            </wp:cNvGraphicFramePr>
            <a:graphic>
              <a:graphicData uri="http://schemas.openxmlformats.org/drawingml/2006/picture">
                <pic:pic>
                  <pic:nvPicPr>
                    <pic:cNvPr id="0" name="R1.png"/>
                    <pic:cNvPicPr/>
                  </pic:nvPicPr>
                  <pic:blipFill>
                    <a:blip r:embed="rId9"/>
                    <a:stretch>
                      <a:fillRect/>
                    </a:stretch>
                  </pic:blipFill>
                  <pic:spPr>
                    <a:xfrm>
                      <a:off x="0" y="0"/>
                      <a:ext cx="5580000" cy="6448104"/>
                    </a:xfrm>
                    <a:prstGeom prst="rect"/>
                  </pic:spPr>
                </pic:pic>
              </a:graphicData>
            </a:graphic>
          </wp:inline>
        </w:drawing>
      </w:r>
    </w:p>
    <w:p/>
    <w:p>
      <w:pPr>
        <w:jc w:val="center"/>
      </w:pPr>
      <w:r>
        <w:drawing>
          <wp:inline xmlns:a="http://schemas.openxmlformats.org/drawingml/2006/main" xmlns:pic="http://schemas.openxmlformats.org/drawingml/2006/picture">
            <wp:extent cx="5580000" cy="8064697"/>
            <wp:docPr id="2" name="Picture 2"/>
            <wp:cNvGraphicFramePr>
              <a:graphicFrameLocks noChangeAspect="1"/>
            </wp:cNvGraphicFramePr>
            <a:graphic>
              <a:graphicData uri="http://schemas.openxmlformats.org/drawingml/2006/picture">
                <pic:pic>
                  <pic:nvPicPr>
                    <pic:cNvPr id="0" name="R2.png"/>
                    <pic:cNvPicPr/>
                  </pic:nvPicPr>
                  <pic:blipFill>
                    <a:blip r:embed="rId10"/>
                    <a:stretch>
                      <a:fillRect/>
                    </a:stretch>
                  </pic:blipFill>
                  <pic:spPr>
                    <a:xfrm>
                      <a:off x="0" y="0"/>
                      <a:ext cx="5580000" cy="8064697"/>
                    </a:xfrm>
                    <a:prstGeom prst="rect"/>
                  </pic:spPr>
                </pic:pic>
              </a:graphicData>
            </a:graphic>
          </wp:inline>
        </w:drawing>
      </w:r>
    </w:p>
    <w:p/>
    <w:p>
      <w:pPr>
        <w:jc w:val="center"/>
      </w:pPr>
      <w:r>
        <w:drawing>
          <wp:inline xmlns:a="http://schemas.openxmlformats.org/drawingml/2006/main" xmlns:pic="http://schemas.openxmlformats.org/drawingml/2006/picture">
            <wp:extent cx="5580000" cy="4638153"/>
            <wp:docPr id="3" name="Picture 3"/>
            <wp:cNvGraphicFramePr>
              <a:graphicFrameLocks noChangeAspect="1"/>
            </wp:cNvGraphicFramePr>
            <a:graphic>
              <a:graphicData uri="http://schemas.openxmlformats.org/drawingml/2006/picture">
                <pic:pic>
                  <pic:nvPicPr>
                    <pic:cNvPr id="0" name="R3.png"/>
                    <pic:cNvPicPr/>
                  </pic:nvPicPr>
                  <pic:blipFill>
                    <a:blip r:embed="rId11"/>
                    <a:stretch>
                      <a:fillRect/>
                    </a:stretch>
                  </pic:blipFill>
                  <pic:spPr>
                    <a:xfrm>
                      <a:off x="0" y="0"/>
                      <a:ext cx="5580000" cy="4638153"/>
                    </a:xfrm>
                    <a:prstGeom prst="rect"/>
                  </pic:spPr>
                </pic:pic>
              </a:graphicData>
            </a:graphic>
          </wp:inline>
        </w:drawing>
      </w:r>
    </w:p>
    <w:p/>
    <w:p>
      <w:pPr>
        <w:jc w:val="center"/>
      </w:pPr>
      <w:r>
        <w:drawing>
          <wp:inline xmlns:a="http://schemas.openxmlformats.org/drawingml/2006/main" xmlns:pic="http://schemas.openxmlformats.org/drawingml/2006/picture">
            <wp:extent cx="5580000" cy="8233728"/>
            <wp:docPr id="4" name="Picture 4"/>
            <wp:cNvGraphicFramePr>
              <a:graphicFrameLocks noChangeAspect="1"/>
            </wp:cNvGraphicFramePr>
            <a:graphic>
              <a:graphicData uri="http://schemas.openxmlformats.org/drawingml/2006/picture">
                <pic:pic>
                  <pic:nvPicPr>
                    <pic:cNvPr id="0" name="R4.png"/>
                    <pic:cNvPicPr/>
                  </pic:nvPicPr>
                  <pic:blipFill>
                    <a:blip r:embed="rId12"/>
                    <a:stretch>
                      <a:fillRect/>
                    </a:stretch>
                  </pic:blipFill>
                  <pic:spPr>
                    <a:xfrm>
                      <a:off x="0" y="0"/>
                      <a:ext cx="5580000" cy="8233728"/>
                    </a:xfrm>
                    <a:prstGeom prst="rect"/>
                  </pic:spPr>
                </pic:pic>
              </a:graphicData>
            </a:graphic>
          </wp:inline>
        </w:drawing>
      </w:r>
    </w:p>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