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Grid by School (H1 &amp; H2) – Review Notes — v0.7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r>
        <w:rPr>
          <w:i/>
          <w:color w:val="595959"/>
          <w:sz w:val="18"/>
        </w:rPr>
        <w:t>Companion to: 1 Topic Grid by School (H1 &amp; H2) v0.7.docx</w:t>
      </w:r>
    </w:p>
    <w:p>
      <w:pPr>
        <w:pStyle w:val="Heading1"/>
      </w:pPr>
      <w:r>
        <w:t>1. What this doc is and how it was built</w:t>
      </w:r>
    </w:p>
    <w:p>
      <w:pPr>
        <w:pStyle w:val="ListBullet"/>
      </w:pPr>
      <w:r>
        <w:t>One table for H1 (Q1–Q6) and one for H2 (P1 Q1–Q6, P2 Q1–Q4). Rows are school + year, sorted by school then year.</w:t>
      </w:r>
    </w:p>
    <w:p>
      <w:pPr>
        <w:pStyle w:val="ListBullet"/>
      </w:pPr>
      <w:r>
        <w:t>Each cell gives the syllabus Key Question(s) the question tests, e.g. '1.1.1b SUD: Urban population trends'.</w:t>
      </w:r>
    </w:p>
    <w:p>
      <w:pPr>
        <w:pStyle w:val="ListBullet"/>
      </w:pPr>
      <w:r>
        <w:t>716 questions from 47 school-years (2024: 15 schools, 2025: 15, 2026: 17).</w:t>
      </w:r>
    </w:p>
    <w:p>
      <w:pPr>
        <w:pStyle w:val="ListBullet"/>
      </w:pPr>
      <w:r>
        <w:t>Labels were assigned from the reading notes (question wording + marks of every sub-part), not from the answer schemes.</w:t>
      </w:r>
    </w:p>
    <w:p>
      <w:pPr>
        <w:pStyle w:val="Heading1"/>
      </w:pPr>
      <w:r>
        <w:t>2. Assumptions</w:t>
      </w:r>
    </w:p>
    <w:p>
      <w:pPr>
        <w:pStyle w:val="ListBullet"/>
      </w:pPr>
      <w:r>
        <w:t>The 2026 syllabuses (8834, 9173) are used for all three years, including the 2024 and 2025 papers.</w:t>
      </w:r>
    </w:p>
    <w:p>
      <w:pPr>
        <w:pStyle w:val="ListBullet"/>
      </w:pPr>
      <w:r>
        <w:t>Key Questions are coded a, b, c in the order they appear in the syllabus, under each sub-topic (e.g. 1.1.1a/b/c).</w:t>
      </w:r>
    </w:p>
    <w:p>
      <w:pPr>
        <w:pStyle w:val="ListBullet"/>
      </w:pPr>
      <w:r>
        <w:t>Structured questions: every sub-part is given a Key Question; the cell lists each one once, ordered by marks (highest first). Ties follow sub-part order.</w:t>
      </w:r>
    </w:p>
    <w:p>
      <w:pPr>
        <w:pStyle w:val="ListBullet"/>
      </w:pPr>
      <w:r>
        <w:t>Essays: normally one Key Question; two only when the question clearly spans two.</w:t>
      </w:r>
    </w:p>
    <w:p>
      <w:pPr>
        <w:pStyle w:val="ListBullet"/>
      </w:pPr>
      <w:r>
        <w:t>Fieldwork questions are labelled by the syllabus fieldwork area (H1: Community response to climate change, Needs of the elderly; H2 adds Fluvial flood risk). Scenarios outside these areas are filed as 'Others'.</w:t>
      </w:r>
    </w:p>
    <w:p>
      <w:pPr>
        <w:pStyle w:val="ListBullet"/>
      </w:pPr>
      <w:r>
        <w:t>VJC 2026 H1 is left out (question paper is password-protected). MI 2026, NJC 2024 and RVHS 2024–2026 have no H1 paper in the sources.</w:t>
      </w:r>
    </w:p>
    <w:p>
      <w:pPr>
        <w:pStyle w:val="ListBullet"/>
      </w:pPr>
      <w:r>
        <w:t>Where a school's paper and answer scheme disagree on marks, the question paper's marks were used.</w:t>
      </w:r>
    </w:p>
    <w:p>
      <w:pPr>
        <w:pStyle w:val="ListBullet"/>
      </w:pPr>
      <w:r>
        <w:t>Errors printed in the schools' own papers are not listed here (as you asked earlier); they are recorded in the reading notes if needed.</w:t>
      </w:r>
    </w:p>
    <w:p>
      <w:pPr>
        <w:pStyle w:val="Heading1"/>
      </w:pPr>
      <w:r>
        <w:t>3. To review: fieldwork filed under 'Others'</w:t>
      </w:r>
    </w:p>
    <w:p>
      <w:r>
        <w:rPr>
          <w:i/>
          <w:color w:val="595959"/>
          <w:sz w:val="18"/>
        </w:rPr>
        <w:t>These scenarios aren't one of the syllabus fieldwork areas, so they are filed under 'Others'. Fill in the area you want for each.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Paper / Q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Fieldwork scenario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Nearest area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ASRJC 2024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Green Hub @ Bishan – sustainable practices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Use of single-use plastics in CJC (Singapore Green Plan)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'Reuse and Return' food containers, Tampines hawker centre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EJC 2024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Green Hub @ Bishan – sustainable practices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JPJC 2024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Promotion of cycling, Ang Mo Kio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JPJC 2024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Promotion of cycling, Ang Mo Kio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Food waste reduction initiatives, Bishan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2025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Youth textile recycling &amp; upcycling, Serangoon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expansion of cycling paths, Ang Mo Kio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JPJC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Beverage Container Return Scheme participation by age, Bukit Panjang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Perceptions of sustainable healthy diets, Fremantle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E-waste recycling &amp; repair by age, Ang Mo Kio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RVHS 2026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Q1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Resource conservation features, City Square Mall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Community response to CC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4. To review: inconsistent fieldwork filing</w:t>
      </w:r>
    </w:p>
    <w:p>
      <w:r>
        <w:rPr>
          <w:i/>
          <w:color w:val="595959"/>
          <w:sz w:val="18"/>
        </w:rPr>
        <w:t>Similar scenarios ended up in different groups. Suggested rule: 'Community response to CC' only when the question itself frames the study as a response to climate change; otherwise 'Others'. Tell me the rule you want and I'll apply it everywhere.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Scenario type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Filed as Community response to CC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Filed as Others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Beverage Container Return Scheme (BCRS)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ASRJC 2026 H2 P2, SAJC 2026 H1, TMJC 2026 H1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JPJC 2026 H1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Cycling / car-lite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ASRJC 2025, TMJC 2026 H2 P2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JPJC 2024 H1 &amp; H2 P2, ACJC 2026 H1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Recycling / repair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EJC 2026 H1 (REhub), TJC 2026 H1, ASRJC 2026 H1 (Repair Kopitiam)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2025 H2 P2 (textiles), NJC 2026 H2 P2 (e-waste)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5. To review: borderline Key Question choices</w:t>
      </w:r>
    </w:p>
    <w:p>
      <w:r>
        <w:rPr>
          <w:i/>
          <w:color w:val="595959"/>
          <w:sz w:val="18"/>
        </w:rPr>
        <w:t>Questions where two Key Questions were both reasonable. The chosen one is in the grid; write the other code in the last column if you prefer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 w:val="true"/>
        </w:trPr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School &amp; Year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Paper / Q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Question focus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Chosen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Alternative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Your decision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RVHS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Uncertainty as the greatest impediment to CC responses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3.2.3c; 3.2.2c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3.2.3c only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TJC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Uncertainty as the biggest challenge to CC responses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1.2.3c; 1.2.2c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1.2.3c only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CC due more to natural than human causes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3.2.1b; 3.2.1c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3.2.1b only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TJC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'SUD is difficult to achieve'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3.1.1b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3.1.1c or 3.1.1a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TMJC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Q3(e)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Landfill GHG harming the environment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1.2.1c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YIJC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Q1(a)(b)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E-waste collection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1.1.2b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1.1.1c / 1.1.1b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YIJC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Monsoons characterise tropical climate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2.1.1c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add 2.1.1a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ASRJC 2025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Q1(c)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Tiffany links places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CC as the greatest challenge to SUD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3.2.2a; 3.1.1b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3.2.2a only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Q3(a)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Larsen B ice front retreat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1.2.1b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GPNs and interdependence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HCI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Q2(e)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Waste viewed as a resource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1.1.2a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World's progress towards SD insufficient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'Not possible to stop CC'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Q2(a)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Nile discharge before/after GERD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1.1.3b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2.1.3c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CJC 2025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Harder to adapt than to manage slums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3.2.3c; 3.1.2b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3.2.3a instead of 3.2.3c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Humans the main cause of CC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3.2.1c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3.2.1b; 3.2.1c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TJC 2025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Relative effectiveness of actors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3.2.3b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add 3.2.3c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NYJC 2025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Q2(f)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Humans modifying meanders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2.2.3b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2.2.3c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DHS 2026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Q3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Benefits of strategies uneven (sustainable cities)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3.1.2c; 3.1.2b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all of 3.1.2a/b/c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HCI 2026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Q3(d)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Positive feedback: tree loss and ice sheets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1.2.1c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1.2.1b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 2026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Human activities in karst formation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2.2.2b; 2.2.2c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2.2.2b only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NJC 2026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Q1(c)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Ilmenite production and reserves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1.1.2b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1.1.3c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RI 2026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Q1(e)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TNC trade-offs for SD in host economies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1.2.2c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1.1.1a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SAJC 2026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P2 Q4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Climate change brings few benefits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3.2.2b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TJC 2026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Q5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Limited control over the occurrence of floods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2.1.3a; 2.1.3c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2.1.3c only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TMJC 2026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H1 Q3(d)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Rooftop gardens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1.2.3a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1.1.2c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YIJC 2026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H2 P1 Q2(d)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Channelisation and fluvial processes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2.2.1c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2.1.3c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6. To review: other points</w:t>
      </w:r>
    </w:p>
    <w:p>
      <w:pPr>
        <w:pStyle w:val="ListBullet"/>
      </w:pPr>
      <w:r>
        <w:t>TMJC 2026 H2 P1 Q2(e) (where Amazon deforestation happens, 4 marks) matches no syllabus Key Question, so it carries no code in its cell.</w:t>
      </w:r>
    </w:p>
    <w:p>
      <w:pPr>
        <w:pStyle w:val="ListBullet"/>
      </w:pPr>
      <w:r>
        <w:t>Two questions really cross clusters, so their cells show codes from both: CJC 2025 H2 P1 Q2 (Nile/GERD – includes 1.1.3b transboundary water) and HCI 2025 H2 P1 Q1 (Medog dam – includes 2.2.3c delta ecosystem services).</w:t>
      </w:r>
    </w:p>
    <w:p>
      <w:pPr>
        <w:pStyle w:val="ListBullet"/>
      </w:pPr>
      <w:r>
        <w:t>Recurring boundary calls, applied the same way everywhere: 'interdependence/interconnectedness' parts → 1.2.2a; monsoon rainfall explained through the ITCZ → 2.1.1c; how sea-level rise happens → x.2.2a (effects of CC); ice-sheet changes as a driver → x.2.1b.</w:t>
      </w:r>
    </w:p>
    <w:p>
      <w:pPr>
        <w:pStyle w:val="Heading1"/>
      </w:pPr>
      <w:r>
        <w:t>7. To consider</w:t>
      </w:r>
    </w:p>
    <w:p>
      <w:pPr>
        <w:pStyle w:val="ListBullet"/>
      </w:pPr>
      <w:r>
        <w:t>Add a summary table: how often each Key Question was tested, by year (useful for spotting 'due' topics).</w:t>
      </w:r>
    </w:p>
    <w:p>
      <w:pPr>
        <w:pStyle w:val="ListBullet"/>
      </w:pPr>
      <w:r>
        <w:t>Shade cells by cluster or topic so patterns stand out when printed.</w:t>
      </w:r>
    </w:p>
    <w:p>
      <w:pPr>
        <w:pStyle w:val="ListBullet"/>
      </w:pPr>
      <w:r>
        <w:t>Add a short focus line under each code (e.g. 'Nike', 'London Docklands') to help recall the question.</w:t>
      </w:r>
    </w:p>
    <w:p>
      <w:pPr>
        <w:pStyle w:val="ListBullet"/>
      </w:pPr>
      <w:r>
        <w:t>Split the H2 table into separate Paper 1 and Paper 2 tables to make it less dense.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