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35FB" w:rsidRDefault="00656784">
      <w:pPr>
        <w:spacing w:after="80"/>
        <w:jc w:val="center"/>
      </w:pPr>
      <w:r>
        <w:rPr>
          <w:b/>
          <w:color w:val="1F4E79"/>
          <w:sz w:val="44"/>
        </w:rPr>
        <w:t>Smart Home Energy Management Dataset &amp; Results Repository</w:t>
      </w:r>
    </w:p>
    <w:p w:rsidR="000E35FB" w:rsidRDefault="00656784">
      <w:pPr>
        <w:jc w:val="center"/>
      </w:pPr>
      <w:r>
        <w:rPr>
          <w:color w:val="3F4A5A"/>
          <w:sz w:val="25"/>
        </w:rPr>
        <w:t>Digital Twin-Augmented Proximal Policy Optimization for Real-Time Home Energy Management</w:t>
      </w:r>
    </w:p>
    <w:p w:rsidR="000E35FB" w:rsidRDefault="00656784">
      <w:pPr>
        <w:jc w:val="center"/>
      </w:pPr>
      <w:r>
        <w:rPr>
          <w:b/>
          <w:color w:val="D97706"/>
          <w:sz w:val="23"/>
        </w:rPr>
        <w:t>Prepared by Ubaid ur Rehman</w:t>
      </w:r>
    </w:p>
    <w:p w:rsidR="000E35FB" w:rsidRDefault="00656784">
      <w:pPr>
        <w:jc w:val="center"/>
      </w:pPr>
      <w:r>
        <w:rPr>
          <w:i/>
          <w:color w:val="6B7280"/>
        </w:rPr>
        <w:t>Politecnico do Porto (ISEP/IPP), Portugal</w:t>
      </w:r>
    </w:p>
    <w:p w:rsidR="000E35FB" w:rsidRDefault="000E35F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E35FB">
        <w:trPr>
          <w:jc w:val="center"/>
        </w:trPr>
        <w:tc>
          <w:tcPr>
            <w:tcW w:w="10312" w:type="dxa"/>
            <w:shd w:val="clear" w:color="auto" w:fill="1F4E79"/>
            <w:vAlign w:val="center"/>
          </w:tcPr>
          <w:p w:rsidR="000E35FB" w:rsidRDefault="00656784">
            <w:pPr>
              <w:spacing w:after="0"/>
            </w:pPr>
            <w:r>
              <w:rPr>
                <w:b/>
                <w:color w:val="FFFFFF"/>
                <w:sz w:val="26"/>
              </w:rPr>
              <w:t>Repository Overview</w:t>
            </w:r>
          </w:p>
        </w:tc>
      </w:tr>
    </w:tbl>
    <w:p w:rsidR="000E35FB" w:rsidRDefault="00656784">
      <w:pPr>
        <w:spacing w:after="80" w:line="269" w:lineRule="auto"/>
      </w:pPr>
      <w:r>
        <w:t xml:space="preserve">This repository </w:t>
      </w:r>
      <w:r>
        <w:t>contains the complete dataset, simulation results, and visualization files supporting the research paper: “Digital Twin-Augmented Proximal Policy Optimization for Real-Time Home Energy Management: Addressing Uncertainties in Renewables, Pricing, and Loads”</w:t>
      </w:r>
      <w:r>
        <w:t xml:space="preserve"> by Ubaid ur Rehman.</w:t>
      </w:r>
    </w:p>
    <w:p w:rsidR="000E35FB" w:rsidRDefault="00656784">
      <w:pPr>
        <w:spacing w:after="80" w:line="269" w:lineRule="auto"/>
      </w:pPr>
      <w:r>
        <w:t>The dataset enables reproducibility of the Proximal Policy Optimization (PPO)-based Home Energy Management System (HEMS) with digital twin integration, validated on high-resolution real-time data.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E35FB">
        <w:trPr>
          <w:jc w:val="center"/>
        </w:trPr>
        <w:tc>
          <w:tcPr>
            <w:tcW w:w="10312" w:type="dxa"/>
            <w:shd w:val="clear" w:color="auto" w:fill="1F4E79"/>
            <w:vAlign w:val="center"/>
          </w:tcPr>
          <w:p w:rsidR="000E35FB" w:rsidRDefault="00656784">
            <w:pPr>
              <w:spacing w:after="0"/>
            </w:pPr>
            <w:r>
              <w:rPr>
                <w:b/>
                <w:color w:val="FFFFFF"/>
                <w:sz w:val="26"/>
              </w:rPr>
              <w:t>Repository Structure</w:t>
            </w:r>
          </w:p>
        </w:tc>
      </w:tr>
    </w:tbl>
    <w:p w:rsidR="000E35FB" w:rsidRDefault="00656784">
      <w:pPr>
        <w:spacing w:after="80" w:line="269" w:lineRule="auto"/>
      </w:pPr>
      <w:r>
        <w:t>The project is o</w:t>
      </w:r>
      <w:r>
        <w:t>rganized into manuscript, data, results, code, and notebooks folders to support full reproducibility.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0E35FB">
        <w:trPr>
          <w:jc w:val="center"/>
        </w:trPr>
        <w:tc>
          <w:tcPr>
            <w:tcW w:w="5156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w="5156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smart-home-ems-dataset/</w:t>
            </w:r>
          </w:p>
        </w:tc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Repository root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README.md</w:t>
            </w:r>
          </w:p>
        </w:tc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Comprehensive guide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LICENSE</w:t>
            </w:r>
          </w:p>
        </w:tc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MIT License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CITATION.cff</w:t>
            </w:r>
          </w:p>
        </w:tc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Citation file for academic use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manuscript/Revised_manuscript_changes_marked.docx</w:t>
            </w:r>
          </w:p>
        </w:tc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Full paper with tracked changes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manuscript/abstract.txt</w:t>
            </w:r>
          </w:p>
        </w:tc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Paper abstract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data/raw/01_RTP_Data.csv</w:t>
            </w:r>
          </w:p>
        </w:tc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Real-time pricing (€/kWh), 96 time steps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data/raw/02_WindPV_Data.csv</w:t>
            </w:r>
          </w:p>
        </w:tc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Wind and PV generation profiles (kW)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data/raw/03_ESS_Data.csv</w:t>
            </w:r>
          </w:p>
        </w:tc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ESS charging, discharging, and SOC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data/raw/04_EV_Data.csv</w:t>
            </w:r>
          </w:p>
        </w:tc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EV charging, discharging, SOC, availability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data/raw/05_HotWater_Data.csv</w:t>
            </w:r>
          </w:p>
        </w:tc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Water heater ambient/indoor temperatures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data/raw/06_IndoorTemp_Data.csv</w:t>
            </w:r>
          </w:p>
        </w:tc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 xml:space="preserve">HVAC ambient/indoor </w:t>
            </w:r>
            <w:r>
              <w:rPr>
                <w:sz w:val="18"/>
              </w:rPr>
              <w:t>AC temperatures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data/raw/07_Appliances_Data.csv</w:t>
            </w:r>
          </w:p>
        </w:tc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Schedulable loads: dishwasher, washer, dryer, vacuum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data/processed/normalized_states.csv</w:t>
            </w:r>
          </w:p>
        </w:tc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Normalized MDP state vectors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data/processed/action_trajectories.csv</w:t>
            </w:r>
          </w:p>
        </w:tc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PPO agent action sequences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data/processed/reward_signals.csv</w:t>
            </w:r>
          </w:p>
        </w:tc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Per-step reward components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results/figures/Fig_3_Training_Convergence.png</w:t>
            </w:r>
          </w:p>
        </w:tc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PPO training reward profile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results/figures/Fig_4_PV_Wind_Generation.png</w:t>
            </w:r>
          </w:p>
        </w:tc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Renewable generation profiles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results/figures/Fig_5_RTP_Profile.png</w:t>
            </w:r>
          </w:p>
        </w:tc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Real</w:t>
            </w:r>
            <w:r>
              <w:rPr>
                <w:sz w:val="18"/>
              </w:rPr>
              <w:t>-time electricity pricing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results/figures/Fig_6_Indoor_Temperature.png</w:t>
            </w:r>
          </w:p>
        </w:tc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HVAC thermal regulation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results/figures/Fig_7_HotWater_Temperature.png</w:t>
            </w:r>
          </w:p>
        </w:tc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Water heater performance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results/figures/Fig_8_EV_Operation.png</w:t>
            </w:r>
          </w:p>
        </w:tc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EV charge/discharge and SOC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results/figures/Fig_9_ESS_Operation.png</w:t>
            </w:r>
          </w:p>
        </w:tc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ESS cycling and SOC evolution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results/figures/Fig_10_Appliance_Scheduling.png</w:t>
            </w:r>
          </w:p>
        </w:tc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Interruptible load activation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results/figures/Fig_11_Energy_Composition.png</w:t>
            </w:r>
          </w:p>
        </w:tc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Stacked energy flow visualization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results/figures/Fig_12_Gr</w:t>
            </w:r>
            <w:r>
              <w:rPr>
                <w:sz w:val="18"/>
              </w:rPr>
              <w:t>id_Interaction.png</w:t>
            </w:r>
          </w:p>
        </w:tc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Total load and grid import/export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results/figures/Fig_13_Benchmark_Comparison.png</w:t>
            </w:r>
          </w:p>
        </w:tc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Cost comparison vs. state-of-the-art methods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results/figures/Fig_14_Sensitivity_LR.png</w:t>
            </w:r>
          </w:p>
        </w:tc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Learning rate sensitivity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results/figures/Fig_15_Sensitivity_Gamma.png</w:t>
            </w:r>
          </w:p>
        </w:tc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Discount factor sensitivity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results/figures/Fig_16_Sensitivity_Clip.png</w:t>
            </w:r>
          </w:p>
        </w:tc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PPO clip parameter sensitivity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results/figures/Fig_17_Sensitivity_Lambda.png</w:t>
            </w:r>
          </w:p>
        </w:tc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GAE lambda sensitivity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results/tables/Table_1_Literature_Comparison.csv</w:t>
            </w:r>
          </w:p>
        </w:tc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State-of-the-art model comparison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results/tables/Table_2_Python_Libraries.csv</w:t>
            </w:r>
          </w:p>
        </w:tc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Implementation dependencies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lastRenderedPageBreak/>
              <w:t>results/tables/Table_3_Hyperparameters.csv</w:t>
            </w:r>
          </w:p>
        </w:tc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PPO training configuration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results/tables/Table_4_Appliance_Parameters.csv</w:t>
            </w:r>
          </w:p>
        </w:tc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Component specifications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results/tables/Table_5_Performance_Metrics.csv</w:t>
            </w:r>
          </w:p>
        </w:tc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Final simulation results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results/tables/Table_6_Benchmark_Results.csv</w:t>
            </w:r>
          </w:p>
        </w:tc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Comparative performance data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code/environment.py</w:t>
            </w:r>
          </w:p>
        </w:tc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 xml:space="preserve">Custom Gym </w:t>
            </w:r>
            <w:r>
              <w:rPr>
                <w:sz w:val="18"/>
              </w:rPr>
              <w:t>HEMS environment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code/ppo_agent.py</w:t>
            </w:r>
          </w:p>
        </w:tc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Actor-critic PPO implementation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code/digital_twin.py</w:t>
            </w:r>
          </w:p>
        </w:tc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Physics-based simulation module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code/train.py</w:t>
            </w:r>
          </w:p>
        </w:tc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Training pipeline (2500 episodes)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code/test.py</w:t>
            </w:r>
          </w:p>
        </w:tc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Real-time inference and evaluation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code/plot_utils.py</w:t>
            </w:r>
          </w:p>
        </w:tc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Visualization ut</w:t>
            </w:r>
            <w:r>
              <w:rPr>
                <w:sz w:val="18"/>
              </w:rPr>
              <w:t>ilities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code/requirements.txt</w:t>
            </w:r>
          </w:p>
        </w:tc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Python dependencies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notebooks/01_data_exploration.ipynb</w:t>
            </w:r>
          </w:p>
        </w:tc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Dataset inspection and statistics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notebooks/02_training_analysis.ipynb</w:t>
            </w:r>
          </w:p>
        </w:tc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Reward convergence and policy diagnostics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notebooks/03_realtime_simulation.ipynb</w:t>
            </w:r>
          </w:p>
        </w:tc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Reproduce Fig.</w:t>
            </w:r>
            <w:r>
              <w:rPr>
                <w:sz w:val="18"/>
              </w:rPr>
              <w:t xml:space="preserve"> 4–12 results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notebooks/04_sensitivity_analysis.ipynb</w:t>
            </w:r>
          </w:p>
        </w:tc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Reproduce Fig. 14–17 hyperparameter study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E35FB">
        <w:trPr>
          <w:jc w:val="center"/>
        </w:trPr>
        <w:tc>
          <w:tcPr>
            <w:tcW w:w="10312" w:type="dxa"/>
            <w:shd w:val="clear" w:color="auto" w:fill="1F4E79"/>
            <w:vAlign w:val="center"/>
          </w:tcPr>
          <w:p w:rsidR="000E35FB" w:rsidRDefault="00656784">
            <w:pPr>
              <w:spacing w:after="0"/>
            </w:pPr>
            <w:r>
              <w:rPr>
                <w:b/>
                <w:color w:val="FFFFFF"/>
                <w:sz w:val="26"/>
              </w:rPr>
              <w:t>Dataset Description</w:t>
            </w:r>
          </w:p>
        </w:tc>
      </w:tr>
    </w:tbl>
    <w:p w:rsidR="000E35FB" w:rsidRDefault="00656784">
      <w:pPr>
        <w:pStyle w:val="SubSection"/>
        <w:spacing w:before="120" w:after="60"/>
      </w:pPr>
      <w:r>
        <w:t>Primary Dataset</w:t>
      </w:r>
    </w:p>
    <w:p w:rsidR="000E35FB" w:rsidRDefault="00656784">
      <w:r>
        <w:rPr>
          <w:b/>
        </w:rPr>
        <w:t>Temporal Resolution</w:t>
      </w:r>
      <w:r>
        <w:t xml:space="preserve"> 15 minutes, 96 steps = 24-hour horizon</w:t>
      </w:r>
    </w:p>
    <w:p w:rsidR="000E35FB" w:rsidRDefault="00656784">
      <w:r>
        <w:rPr>
          <w:b/>
        </w:rPr>
        <w:t>Training Period</w:t>
      </w:r>
      <w:r>
        <w:t xml:space="preserve"> 180 days, 17,280 time steps for PPO training</w:t>
      </w:r>
    </w:p>
    <w:p w:rsidR="000E35FB" w:rsidRDefault="00656784">
      <w:r>
        <w:rPr>
          <w:b/>
        </w:rPr>
        <w:t>Testing Period</w:t>
      </w:r>
      <w:r>
        <w:t xml:space="preserve"> 1 day, held-out 96-step real-time validation</w:t>
      </w:r>
    </w:p>
    <w:p w:rsidR="000E35FB" w:rsidRDefault="00656784">
      <w:r>
        <w:rPr>
          <w:b/>
        </w:rPr>
        <w:t>Geographic Context</w:t>
      </w:r>
      <w:r>
        <w:t xml:space="preserve"> Porto, Portugal</w:t>
      </w:r>
    </w:p>
    <w:p w:rsidR="000E35FB" w:rsidRDefault="00656784">
      <w:r>
        <w:rPr>
          <w:b/>
        </w:rPr>
        <w:t>Data Source</w:t>
      </w:r>
      <w:r>
        <w:t xml:space="preserve"> Physical testbed + public datasets</w:t>
      </w:r>
    </w:p>
    <w:p w:rsidR="000E35FB" w:rsidRDefault="00656784">
      <w:pPr>
        <w:pStyle w:val="SubSection"/>
        <w:spacing w:before="120" w:after="60"/>
      </w:pPr>
      <w:r>
        <w:t>Component Specifications</w:t>
      </w:r>
    </w:p>
    <w:p w:rsidR="000E35FB" w:rsidRDefault="00656784">
      <w:pPr>
        <w:spacing w:after="80" w:line="269" w:lineRule="auto"/>
      </w:pPr>
      <w:r>
        <w:t>Renewable Generation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0E35FB">
        <w:trPr>
          <w:jc w:val="center"/>
        </w:trPr>
        <w:tc>
          <w:tcPr>
            <w:tcW w:w="2578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w="2578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Peak Power</w:t>
            </w:r>
          </w:p>
        </w:tc>
        <w:tc>
          <w:tcPr>
            <w:tcW w:w="2578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Profile Type</w:t>
            </w:r>
          </w:p>
        </w:tc>
        <w:tc>
          <w:tcPr>
            <w:tcW w:w="2578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Variability</w:t>
            </w:r>
          </w:p>
        </w:tc>
      </w:tr>
      <w:tr w:rsidR="000E35FB">
        <w:trPr>
          <w:jc w:val="center"/>
        </w:trPr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Photovoltaic (PV)</w:t>
            </w:r>
          </w:p>
        </w:tc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 xml:space="preserve">6–10 </w:t>
            </w:r>
            <w:r>
              <w:rPr>
                <w:sz w:val="18"/>
              </w:rPr>
              <w:t>kW</w:t>
            </w:r>
          </w:p>
        </w:tc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Diurnal (bell-shaped)</w:t>
            </w:r>
          </w:p>
        </w:tc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Weather-dependent irradiance</w:t>
            </w:r>
          </w:p>
        </w:tc>
      </w:tr>
      <w:tr w:rsidR="000E35FB">
        <w:trPr>
          <w:jc w:val="center"/>
        </w:trPr>
        <w:tc>
          <w:tcPr>
            <w:tcW w:w="2578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Wind Turbine</w:t>
            </w:r>
          </w:p>
        </w:tc>
        <w:tc>
          <w:tcPr>
            <w:tcW w:w="2578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2.5–4 kW</w:t>
            </w:r>
          </w:p>
        </w:tc>
        <w:tc>
          <w:tcPr>
            <w:tcW w:w="2578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Intermittent</w:t>
            </w:r>
          </w:p>
        </w:tc>
        <w:tc>
          <w:tcPr>
            <w:tcW w:w="2578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Sustained off-solar generation</w:t>
            </w:r>
          </w:p>
        </w:tc>
      </w:tr>
    </w:tbl>
    <w:p w:rsidR="000E35FB" w:rsidRDefault="00656784">
      <w:pPr>
        <w:spacing w:after="80" w:line="269" w:lineRule="auto"/>
      </w:pPr>
      <w:r>
        <w:t>Energy Storage Systems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2"/>
        <w:gridCol w:w="2062"/>
        <w:gridCol w:w="2062"/>
        <w:gridCol w:w="2062"/>
        <w:gridCol w:w="2062"/>
      </w:tblGrid>
      <w:tr w:rsidR="000E35FB">
        <w:trPr>
          <w:jc w:val="center"/>
        </w:trPr>
        <w:tc>
          <w:tcPr>
            <w:tcW w:w="2062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2062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Capacity</w:t>
            </w:r>
          </w:p>
        </w:tc>
        <w:tc>
          <w:tcPr>
            <w:tcW w:w="2062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Efficiency</w:t>
            </w:r>
          </w:p>
        </w:tc>
        <w:tc>
          <w:tcPr>
            <w:tcW w:w="2062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Power Limits</w:t>
            </w:r>
          </w:p>
        </w:tc>
        <w:tc>
          <w:tcPr>
            <w:tcW w:w="2062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SOC Bounds</w:t>
            </w:r>
          </w:p>
        </w:tc>
      </w:tr>
      <w:tr w:rsidR="000E35FB">
        <w:trPr>
          <w:jc w:val="center"/>
        </w:trPr>
        <w:tc>
          <w:tcPr>
            <w:tcW w:w="2062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ESS (Stationary)</w:t>
            </w:r>
          </w:p>
        </w:tc>
        <w:tc>
          <w:tcPr>
            <w:tcW w:w="2062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12.0 kWh</w:t>
            </w:r>
          </w:p>
        </w:tc>
        <w:tc>
          <w:tcPr>
            <w:tcW w:w="2062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90% round-trip</w:t>
            </w:r>
          </w:p>
        </w:tc>
        <w:tc>
          <w:tcPr>
            <w:tcW w:w="2062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±1.5 kW</w:t>
            </w:r>
          </w:p>
        </w:tc>
        <w:tc>
          <w:tcPr>
            <w:tcW w:w="2062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 xml:space="preserve">[1.8, </w:t>
            </w:r>
            <w:r>
              <w:rPr>
                <w:sz w:val="18"/>
              </w:rPr>
              <w:t>10.2] kWh</w:t>
            </w:r>
          </w:p>
        </w:tc>
      </w:tr>
      <w:tr w:rsidR="000E35FB">
        <w:trPr>
          <w:jc w:val="center"/>
        </w:trPr>
        <w:tc>
          <w:tcPr>
            <w:tcW w:w="2062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EV Battery</w:t>
            </w:r>
          </w:p>
        </w:tc>
        <w:tc>
          <w:tcPr>
            <w:tcW w:w="2062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30.0 kWh</w:t>
            </w:r>
          </w:p>
        </w:tc>
        <w:tc>
          <w:tcPr>
            <w:tcW w:w="2062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90% round-trip</w:t>
            </w:r>
          </w:p>
        </w:tc>
        <w:tc>
          <w:tcPr>
            <w:tcW w:w="2062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±2.5 kW</w:t>
            </w:r>
          </w:p>
        </w:tc>
        <w:tc>
          <w:tcPr>
            <w:tcW w:w="2062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[6.0, 27.0] kWh</w:t>
            </w:r>
          </w:p>
        </w:tc>
      </w:tr>
      <w:tr w:rsidR="000E35FB">
        <w:trPr>
          <w:jc w:val="center"/>
        </w:trPr>
        <w:tc>
          <w:tcPr>
            <w:tcW w:w="2062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EV Availability</w:t>
            </w:r>
          </w:p>
        </w:tc>
        <w:tc>
          <w:tcPr>
            <w:tcW w:w="2062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—</w:t>
            </w:r>
          </w:p>
        </w:tc>
        <w:tc>
          <w:tcPr>
            <w:tcW w:w="2062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—</w:t>
            </w:r>
          </w:p>
        </w:tc>
        <w:tc>
          <w:tcPr>
            <w:tcW w:w="2062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—</w:t>
            </w:r>
          </w:p>
        </w:tc>
        <w:tc>
          <w:tcPr>
            <w:tcW w:w="2062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Absent: steps 32–68</w:t>
            </w:r>
          </w:p>
        </w:tc>
      </w:tr>
    </w:tbl>
    <w:p w:rsidR="000E35FB" w:rsidRDefault="00656784">
      <w:pPr>
        <w:spacing w:after="80" w:line="269" w:lineRule="auto"/>
      </w:pPr>
      <w:r>
        <w:t>Thermal Systems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2"/>
        <w:gridCol w:w="2062"/>
        <w:gridCol w:w="2062"/>
        <w:gridCol w:w="2062"/>
        <w:gridCol w:w="2062"/>
      </w:tblGrid>
      <w:tr w:rsidR="000E35FB">
        <w:trPr>
          <w:jc w:val="center"/>
        </w:trPr>
        <w:tc>
          <w:tcPr>
            <w:tcW w:w="2062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System</w:t>
            </w:r>
          </w:p>
        </w:tc>
        <w:tc>
          <w:tcPr>
            <w:tcW w:w="2062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Comfort Range</w:t>
            </w:r>
          </w:p>
        </w:tc>
        <w:tc>
          <w:tcPr>
            <w:tcW w:w="2062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Setpoint</w:t>
            </w:r>
          </w:p>
        </w:tc>
        <w:tc>
          <w:tcPr>
            <w:tcW w:w="2062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Max Power</w:t>
            </w:r>
          </w:p>
        </w:tc>
        <w:tc>
          <w:tcPr>
            <w:tcW w:w="2062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Dynamics</w:t>
            </w:r>
          </w:p>
        </w:tc>
      </w:tr>
      <w:tr w:rsidR="000E35FB">
        <w:trPr>
          <w:jc w:val="center"/>
        </w:trPr>
        <w:tc>
          <w:tcPr>
            <w:tcW w:w="2062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HVAC (Indoor)</w:t>
            </w:r>
          </w:p>
        </w:tc>
        <w:tc>
          <w:tcPr>
            <w:tcW w:w="2062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[22, 26] °C</w:t>
            </w:r>
          </w:p>
        </w:tc>
        <w:tc>
          <w:tcPr>
            <w:tcW w:w="2062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24 °C</w:t>
            </w:r>
          </w:p>
        </w:tc>
        <w:tc>
          <w:tcPr>
            <w:tcW w:w="2062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2.5 kW</w:t>
            </w:r>
          </w:p>
        </w:tc>
        <w:tc>
          <w:tcPr>
            <w:tcW w:w="2062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First-order thermal inertia</w:t>
            </w:r>
          </w:p>
        </w:tc>
      </w:tr>
      <w:tr w:rsidR="000E35FB">
        <w:trPr>
          <w:jc w:val="center"/>
        </w:trPr>
        <w:tc>
          <w:tcPr>
            <w:tcW w:w="2062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 xml:space="preserve">Water </w:t>
            </w:r>
            <w:r>
              <w:rPr>
                <w:sz w:val="18"/>
              </w:rPr>
              <w:t>Heater</w:t>
            </w:r>
          </w:p>
        </w:tc>
        <w:tc>
          <w:tcPr>
            <w:tcW w:w="2062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[40, 46] °C</w:t>
            </w:r>
          </w:p>
        </w:tc>
        <w:tc>
          <w:tcPr>
            <w:tcW w:w="2062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43 °C</w:t>
            </w:r>
          </w:p>
        </w:tc>
        <w:tc>
          <w:tcPr>
            <w:tcW w:w="2062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2.5 kW</w:t>
            </w:r>
          </w:p>
        </w:tc>
        <w:tc>
          <w:tcPr>
            <w:tcW w:w="2062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Stratification-aware model</w:t>
            </w:r>
          </w:p>
        </w:tc>
      </w:tr>
    </w:tbl>
    <w:p w:rsidR="000E35FB" w:rsidRDefault="00656784">
      <w:pPr>
        <w:spacing w:after="80" w:line="269" w:lineRule="auto"/>
      </w:pPr>
      <w:r>
        <w:t>Load Profiles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0E35FB">
        <w:trPr>
          <w:jc w:val="center"/>
        </w:trPr>
        <w:tc>
          <w:tcPr>
            <w:tcW w:w="2578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2578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Appliances</w:t>
            </w:r>
          </w:p>
        </w:tc>
        <w:tc>
          <w:tcPr>
            <w:tcW w:w="2578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Power Range</w:t>
            </w:r>
          </w:p>
        </w:tc>
        <w:tc>
          <w:tcPr>
            <w:tcW w:w="2578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Scheduling</w:t>
            </w:r>
          </w:p>
        </w:tc>
      </w:tr>
      <w:tr w:rsidR="000E35FB">
        <w:trPr>
          <w:jc w:val="center"/>
        </w:trPr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Non-Interruptible</w:t>
            </w:r>
          </w:p>
        </w:tc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Lights, Refrigerator, Stove, Kettle, Iron, TV, Fan, Microwave, Toaster</w:t>
            </w:r>
          </w:p>
        </w:tc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0.08–4.5 kW</w:t>
            </w:r>
          </w:p>
        </w:tc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User-defined, exogenous</w:t>
            </w:r>
          </w:p>
        </w:tc>
      </w:tr>
      <w:tr w:rsidR="000E35FB">
        <w:trPr>
          <w:jc w:val="center"/>
        </w:trPr>
        <w:tc>
          <w:tcPr>
            <w:tcW w:w="2578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Interruptible</w:t>
            </w:r>
          </w:p>
        </w:tc>
        <w:tc>
          <w:tcPr>
            <w:tcW w:w="2578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Dishwasher (2.0 kW, 4 steps), Washing Machine (1.5 kW, 5 steps), Dryer (1.1 kW, 3 steps), Vacuum (1.2 kW, 3 steps)</w:t>
            </w:r>
          </w:p>
        </w:tc>
        <w:tc>
          <w:tcPr>
            <w:tcW w:w="2578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1.1–2.0 kW</w:t>
            </w:r>
          </w:p>
        </w:tc>
        <w:tc>
          <w:tcPr>
            <w:tcW w:w="2578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PPO-optimized, mutual exclusivity enforced</w:t>
            </w:r>
          </w:p>
        </w:tc>
      </w:tr>
    </w:tbl>
    <w:p w:rsidR="000E35FB" w:rsidRDefault="00656784">
      <w:pPr>
        <w:spacing w:after="80" w:line="269" w:lineRule="auto"/>
      </w:pPr>
      <w:r>
        <w:t>Pricing and Grid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0E35FB">
        <w:trPr>
          <w:jc w:val="center"/>
        </w:trPr>
        <w:tc>
          <w:tcPr>
            <w:tcW w:w="3437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w="3437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w="3437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0E35FB">
        <w:trPr>
          <w:jc w:val="center"/>
        </w:trPr>
        <w:tc>
          <w:tcPr>
            <w:tcW w:w="3437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lastRenderedPageBreak/>
              <w:t>Real-Time Price (RTP)</w:t>
            </w:r>
          </w:p>
        </w:tc>
        <w:tc>
          <w:tcPr>
            <w:tcW w:w="3437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 xml:space="preserve">0.12–0.24 </w:t>
            </w:r>
            <w:r>
              <w:rPr>
                <w:sz w:val="18"/>
              </w:rPr>
              <w:t>€/kWh</w:t>
            </w:r>
          </w:p>
        </w:tc>
        <w:tc>
          <w:tcPr>
            <w:tcW w:w="3437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Peak: steps 25–80 (≥0.15 €/kWh)</w:t>
            </w:r>
          </w:p>
        </w:tc>
      </w:tr>
      <w:tr w:rsidR="000E35FB">
        <w:trPr>
          <w:jc w:val="center"/>
        </w:trPr>
        <w:tc>
          <w:tcPr>
            <w:tcW w:w="3437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Export Tariff</w:t>
            </w:r>
          </w:p>
        </w:tc>
        <w:tc>
          <w:tcPr>
            <w:tcW w:w="3437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70% of import price</w:t>
            </w:r>
          </w:p>
        </w:tc>
        <w:tc>
          <w:tcPr>
            <w:tcW w:w="3437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Incentivizes self-consumption</w:t>
            </w:r>
          </w:p>
        </w:tc>
      </w:tr>
      <w:tr w:rsidR="000E35FB">
        <w:trPr>
          <w:jc w:val="center"/>
        </w:trPr>
        <w:tc>
          <w:tcPr>
            <w:tcW w:w="3437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Grid Constraints</w:t>
            </w:r>
          </w:p>
        </w:tc>
        <w:tc>
          <w:tcPr>
            <w:tcW w:w="3437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Unlimited import/export</w:t>
            </w:r>
          </w:p>
        </w:tc>
        <w:tc>
          <w:tcPr>
            <w:tcW w:w="3437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No capacity limits in simulation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E35FB">
        <w:trPr>
          <w:jc w:val="center"/>
        </w:trPr>
        <w:tc>
          <w:tcPr>
            <w:tcW w:w="10312" w:type="dxa"/>
            <w:shd w:val="clear" w:color="auto" w:fill="1F4E79"/>
            <w:vAlign w:val="center"/>
          </w:tcPr>
          <w:p w:rsidR="000E35FB" w:rsidRDefault="00656784">
            <w:pPr>
              <w:spacing w:after="0"/>
            </w:pPr>
            <w:r>
              <w:rPr>
                <w:b/>
                <w:color w:val="FFFFFF"/>
                <w:sz w:val="26"/>
              </w:rPr>
              <w:t>Key Results Summary</w:t>
            </w:r>
          </w:p>
        </w:tc>
      </w:tr>
    </w:tbl>
    <w:p w:rsidR="000E35FB" w:rsidRDefault="00656784">
      <w:pPr>
        <w:pStyle w:val="SubSection"/>
        <w:spacing w:before="120" w:after="60"/>
      </w:pPr>
      <w:r>
        <w:t>Performance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0E35FB">
        <w:trPr>
          <w:jc w:val="center"/>
        </w:trPr>
        <w:tc>
          <w:tcPr>
            <w:tcW w:w="2578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2578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w="2578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Unit</w:t>
            </w:r>
          </w:p>
        </w:tc>
        <w:tc>
          <w:tcPr>
            <w:tcW w:w="2578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Significance</w:t>
            </w:r>
          </w:p>
        </w:tc>
      </w:tr>
      <w:tr w:rsidR="000E35FB">
        <w:trPr>
          <w:jc w:val="center"/>
        </w:trPr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Total Optimized Cost</w:t>
            </w:r>
          </w:p>
        </w:tc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13.53</w:t>
            </w:r>
          </w:p>
        </w:tc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€</w:t>
            </w:r>
          </w:p>
        </w:tc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42.8% reduction vs. baseline</w:t>
            </w:r>
          </w:p>
        </w:tc>
      </w:tr>
      <w:tr w:rsidR="000E35FB">
        <w:trPr>
          <w:jc w:val="center"/>
        </w:trPr>
        <w:tc>
          <w:tcPr>
            <w:tcW w:w="2578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Baseline Cost</w:t>
            </w:r>
          </w:p>
        </w:tc>
        <w:tc>
          <w:tcPr>
            <w:tcW w:w="2578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23.68</w:t>
            </w:r>
          </w:p>
        </w:tc>
        <w:tc>
          <w:tcPr>
            <w:tcW w:w="2578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€</w:t>
            </w:r>
          </w:p>
        </w:tc>
        <w:tc>
          <w:tcPr>
            <w:tcW w:w="2578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No optimization, no ESS/EV</w:t>
            </w:r>
          </w:p>
        </w:tc>
      </w:tr>
      <w:tr w:rsidR="000E35FB">
        <w:trPr>
          <w:jc w:val="center"/>
        </w:trPr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Cost Savings</w:t>
            </w:r>
          </w:p>
        </w:tc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10.15</w:t>
            </w:r>
          </w:p>
        </w:tc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€</w:t>
            </w:r>
          </w:p>
        </w:tc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Absolute improvement</w:t>
            </w:r>
          </w:p>
        </w:tc>
      </w:tr>
      <w:tr w:rsidR="000E35FB">
        <w:trPr>
          <w:jc w:val="center"/>
        </w:trPr>
        <w:tc>
          <w:tcPr>
            <w:tcW w:w="2578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Inference Time</w:t>
            </w:r>
          </w:p>
        </w:tc>
        <w:tc>
          <w:tcPr>
            <w:tcW w:w="2578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125.46</w:t>
            </w:r>
          </w:p>
        </w:tc>
        <w:tc>
          <w:tcPr>
            <w:tcW w:w="2578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ms</w:t>
            </w:r>
          </w:p>
        </w:tc>
        <w:tc>
          <w:tcPr>
            <w:tcW w:w="2578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Real-time capable (&lt;150 ms)</w:t>
            </w:r>
          </w:p>
        </w:tc>
      </w:tr>
      <w:tr w:rsidR="000E35FB">
        <w:trPr>
          <w:jc w:val="center"/>
        </w:trPr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Indoor Comfort Compliance</w:t>
            </w:r>
          </w:p>
        </w:tc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1.00</w:t>
            </w:r>
          </w:p>
        </w:tc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fraction</w:t>
            </w:r>
          </w:p>
        </w:tc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 xml:space="preserve">Zero </w:t>
            </w:r>
            <w:r>
              <w:rPr>
                <w:sz w:val="18"/>
              </w:rPr>
              <w:t>violations of [22, 26]°C</w:t>
            </w:r>
          </w:p>
        </w:tc>
      </w:tr>
      <w:tr w:rsidR="000E35FB">
        <w:trPr>
          <w:jc w:val="center"/>
        </w:trPr>
        <w:tc>
          <w:tcPr>
            <w:tcW w:w="2578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Hot Water Comfort Compliance</w:t>
            </w:r>
          </w:p>
        </w:tc>
        <w:tc>
          <w:tcPr>
            <w:tcW w:w="2578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1.00</w:t>
            </w:r>
          </w:p>
        </w:tc>
        <w:tc>
          <w:tcPr>
            <w:tcW w:w="2578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fraction</w:t>
            </w:r>
          </w:p>
        </w:tc>
        <w:tc>
          <w:tcPr>
            <w:tcW w:w="2578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Zero violations of [40, 46]°C</w:t>
            </w:r>
          </w:p>
        </w:tc>
      </w:tr>
      <w:tr w:rsidR="000E35FB">
        <w:trPr>
          <w:jc w:val="center"/>
        </w:trPr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Overall Constraint Satisfaction</w:t>
            </w:r>
          </w:p>
        </w:tc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100%</w:t>
            </w:r>
          </w:p>
        </w:tc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—</w:t>
            </w:r>
          </w:p>
        </w:tc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SOC, appliance logic, thermal bounds</w:t>
            </w:r>
          </w:p>
        </w:tc>
      </w:tr>
    </w:tbl>
    <w:p w:rsidR="000E35FB" w:rsidRDefault="00656784">
      <w:pPr>
        <w:pStyle w:val="SubSection"/>
        <w:spacing w:before="120" w:after="60"/>
      </w:pPr>
      <w:r>
        <w:t>Benchmark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2"/>
        <w:gridCol w:w="2062"/>
        <w:gridCol w:w="2062"/>
        <w:gridCol w:w="2062"/>
        <w:gridCol w:w="2062"/>
      </w:tblGrid>
      <w:tr w:rsidR="000E35FB">
        <w:trPr>
          <w:jc w:val="center"/>
        </w:trPr>
        <w:tc>
          <w:tcPr>
            <w:tcW w:w="2062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w="2062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Cost (€)</w:t>
            </w:r>
          </w:p>
        </w:tc>
        <w:tc>
          <w:tcPr>
            <w:tcW w:w="2062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Savings vs. Baseline</w:t>
            </w:r>
          </w:p>
        </w:tc>
        <w:tc>
          <w:tcPr>
            <w:tcW w:w="2062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Inference (ms)</w:t>
            </w:r>
          </w:p>
        </w:tc>
        <w:tc>
          <w:tcPr>
            <w:tcW w:w="2062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Comfort</w:t>
            </w:r>
          </w:p>
        </w:tc>
      </w:tr>
      <w:tr w:rsidR="000E35FB">
        <w:trPr>
          <w:jc w:val="center"/>
        </w:trPr>
        <w:tc>
          <w:tcPr>
            <w:tcW w:w="2062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Baseline (No Opt.)</w:t>
            </w:r>
          </w:p>
        </w:tc>
        <w:tc>
          <w:tcPr>
            <w:tcW w:w="2062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23.68</w:t>
            </w:r>
          </w:p>
        </w:tc>
        <w:tc>
          <w:tcPr>
            <w:tcW w:w="2062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0%</w:t>
            </w:r>
          </w:p>
        </w:tc>
        <w:tc>
          <w:tcPr>
            <w:tcW w:w="2062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—</w:t>
            </w:r>
          </w:p>
        </w:tc>
        <w:tc>
          <w:tcPr>
            <w:tcW w:w="2062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1.00</w:t>
            </w:r>
          </w:p>
        </w:tc>
      </w:tr>
      <w:tr w:rsidR="000E35FB">
        <w:trPr>
          <w:jc w:val="center"/>
        </w:trPr>
        <w:tc>
          <w:tcPr>
            <w:tcW w:w="2062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Uncertainty-Aware PPO [42]</w:t>
            </w:r>
          </w:p>
        </w:tc>
        <w:tc>
          <w:tcPr>
            <w:tcW w:w="2062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14.56</w:t>
            </w:r>
          </w:p>
        </w:tc>
        <w:tc>
          <w:tcPr>
            <w:tcW w:w="2062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38.5%</w:t>
            </w:r>
          </w:p>
        </w:tc>
        <w:tc>
          <w:tcPr>
            <w:tcW w:w="2062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150</w:t>
            </w:r>
          </w:p>
        </w:tc>
        <w:tc>
          <w:tcPr>
            <w:tcW w:w="2062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1.00</w:t>
            </w:r>
          </w:p>
        </w:tc>
      </w:tr>
      <w:tr w:rsidR="000E35FB">
        <w:trPr>
          <w:jc w:val="center"/>
        </w:trPr>
        <w:tc>
          <w:tcPr>
            <w:tcW w:w="2062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DRL PEV Scheduling [44]</w:t>
            </w:r>
          </w:p>
        </w:tc>
        <w:tc>
          <w:tcPr>
            <w:tcW w:w="2062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18.92</w:t>
            </w:r>
          </w:p>
        </w:tc>
        <w:tc>
          <w:tcPr>
            <w:tcW w:w="2062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20.1%</w:t>
            </w:r>
          </w:p>
        </w:tc>
        <w:tc>
          <w:tcPr>
            <w:tcW w:w="2062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180</w:t>
            </w:r>
          </w:p>
        </w:tc>
        <w:tc>
          <w:tcPr>
            <w:tcW w:w="2062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0.95</w:t>
            </w:r>
          </w:p>
        </w:tc>
      </w:tr>
      <w:tr w:rsidR="000E35FB">
        <w:trPr>
          <w:jc w:val="center"/>
        </w:trPr>
        <w:tc>
          <w:tcPr>
            <w:tcW w:w="2062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ADP Real-Time HEMS [45]</w:t>
            </w:r>
          </w:p>
        </w:tc>
        <w:tc>
          <w:tcPr>
            <w:tcW w:w="2062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17.45</w:t>
            </w:r>
          </w:p>
        </w:tc>
        <w:tc>
          <w:tcPr>
            <w:tcW w:w="2062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26.3%</w:t>
            </w:r>
          </w:p>
        </w:tc>
        <w:tc>
          <w:tcPr>
            <w:tcW w:w="2062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200</w:t>
            </w:r>
          </w:p>
        </w:tc>
        <w:tc>
          <w:tcPr>
            <w:tcW w:w="2062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0.98</w:t>
            </w:r>
          </w:p>
        </w:tc>
      </w:tr>
      <w:tr w:rsidR="000E35FB">
        <w:trPr>
          <w:jc w:val="center"/>
        </w:trPr>
        <w:tc>
          <w:tcPr>
            <w:tcW w:w="2062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Robust MILP [46]</w:t>
            </w:r>
          </w:p>
        </w:tc>
        <w:tc>
          <w:tcPr>
            <w:tcW w:w="2062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16.78</w:t>
            </w:r>
          </w:p>
        </w:tc>
        <w:tc>
          <w:tcPr>
            <w:tcW w:w="2062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29.1%</w:t>
            </w:r>
          </w:p>
        </w:tc>
        <w:tc>
          <w:tcPr>
            <w:tcW w:w="2062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500</w:t>
            </w:r>
          </w:p>
        </w:tc>
        <w:tc>
          <w:tcPr>
            <w:tcW w:w="2062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1.00</w:t>
            </w:r>
          </w:p>
        </w:tc>
      </w:tr>
      <w:tr w:rsidR="000E35FB">
        <w:trPr>
          <w:jc w:val="center"/>
        </w:trPr>
        <w:tc>
          <w:tcPr>
            <w:tcW w:w="2062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MAS Self-Approaching [47]</w:t>
            </w:r>
          </w:p>
        </w:tc>
        <w:tc>
          <w:tcPr>
            <w:tcW w:w="2062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19.34</w:t>
            </w:r>
          </w:p>
        </w:tc>
        <w:tc>
          <w:tcPr>
            <w:tcW w:w="2062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18.3%</w:t>
            </w:r>
          </w:p>
        </w:tc>
        <w:tc>
          <w:tcPr>
            <w:tcW w:w="2062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300</w:t>
            </w:r>
          </w:p>
        </w:tc>
        <w:tc>
          <w:tcPr>
            <w:tcW w:w="2062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0.97</w:t>
            </w:r>
          </w:p>
        </w:tc>
      </w:tr>
      <w:tr w:rsidR="000E35FB">
        <w:trPr>
          <w:jc w:val="center"/>
        </w:trPr>
        <w:tc>
          <w:tcPr>
            <w:tcW w:w="2062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Proposed DT-PPO</w:t>
            </w:r>
          </w:p>
        </w:tc>
        <w:tc>
          <w:tcPr>
            <w:tcW w:w="2062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13.53</w:t>
            </w:r>
          </w:p>
        </w:tc>
        <w:tc>
          <w:tcPr>
            <w:tcW w:w="2062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42.8%</w:t>
            </w:r>
          </w:p>
        </w:tc>
        <w:tc>
          <w:tcPr>
            <w:tcW w:w="2062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125</w:t>
            </w:r>
          </w:p>
        </w:tc>
        <w:tc>
          <w:tcPr>
            <w:tcW w:w="2062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1.00</w:t>
            </w:r>
          </w:p>
        </w:tc>
      </w:tr>
    </w:tbl>
    <w:p w:rsidR="000E35FB" w:rsidRDefault="00656784">
      <w:pPr>
        <w:pStyle w:val="SubSection"/>
        <w:spacing w:before="120" w:after="60"/>
      </w:pPr>
      <w:r>
        <w:t>Sensitivity Analysis Highlights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0E35FB">
        <w:trPr>
          <w:jc w:val="center"/>
        </w:trPr>
        <w:tc>
          <w:tcPr>
            <w:tcW w:w="2578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Hyperparameter</w:t>
            </w:r>
          </w:p>
        </w:tc>
        <w:tc>
          <w:tcPr>
            <w:tcW w:w="2578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Optimal Value</w:t>
            </w:r>
          </w:p>
        </w:tc>
        <w:tc>
          <w:tcPr>
            <w:tcW w:w="2578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Cost Range (± variation)</w:t>
            </w:r>
          </w:p>
        </w:tc>
        <w:tc>
          <w:tcPr>
            <w:tcW w:w="2578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Comfort Stability</w:t>
            </w:r>
          </w:p>
        </w:tc>
      </w:tr>
      <w:tr w:rsidR="000E35FB">
        <w:trPr>
          <w:jc w:val="center"/>
        </w:trPr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Learning Rate (α)</w:t>
            </w:r>
          </w:p>
        </w:tc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3×10⁻⁴</w:t>
            </w:r>
          </w:p>
        </w:tc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13.53–16.45 €</w:t>
            </w:r>
          </w:p>
        </w:tc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≥0.95</w:t>
            </w:r>
          </w:p>
        </w:tc>
      </w:tr>
      <w:tr w:rsidR="000E35FB">
        <w:trPr>
          <w:jc w:val="center"/>
        </w:trPr>
        <w:tc>
          <w:tcPr>
            <w:tcW w:w="2578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Discount Factor (γ)</w:t>
            </w:r>
          </w:p>
        </w:tc>
        <w:tc>
          <w:tcPr>
            <w:tcW w:w="2578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0.99</w:t>
            </w:r>
          </w:p>
        </w:tc>
        <w:tc>
          <w:tcPr>
            <w:tcW w:w="2578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13.49–16.78 €</w:t>
            </w:r>
          </w:p>
        </w:tc>
        <w:tc>
          <w:tcPr>
            <w:tcW w:w="2578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≥0.97</w:t>
            </w:r>
          </w:p>
        </w:tc>
      </w:tr>
      <w:tr w:rsidR="000E35FB">
        <w:trPr>
          <w:jc w:val="center"/>
        </w:trPr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 xml:space="preserve">Clip </w:t>
            </w:r>
            <w:r>
              <w:rPr>
                <w:sz w:val="18"/>
              </w:rPr>
              <w:t>Parameter (ε)</w:t>
            </w:r>
          </w:p>
        </w:tc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0.2</w:t>
            </w:r>
          </w:p>
        </w:tc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13.53–14.10 €</w:t>
            </w:r>
          </w:p>
        </w:tc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≥0.99</w:t>
            </w:r>
          </w:p>
        </w:tc>
      </w:tr>
      <w:tr w:rsidR="000E35FB">
        <w:trPr>
          <w:jc w:val="center"/>
        </w:trPr>
        <w:tc>
          <w:tcPr>
            <w:tcW w:w="2578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GAE Lambda (λ)</w:t>
            </w:r>
          </w:p>
        </w:tc>
        <w:tc>
          <w:tcPr>
            <w:tcW w:w="2578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0.95</w:t>
            </w:r>
          </w:p>
        </w:tc>
        <w:tc>
          <w:tcPr>
            <w:tcW w:w="2578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13.53–14.65 €</w:t>
            </w:r>
          </w:p>
        </w:tc>
        <w:tc>
          <w:tcPr>
            <w:tcW w:w="2578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≥0.98</w:t>
            </w:r>
          </w:p>
        </w:tc>
      </w:tr>
      <w:tr w:rsidR="000E35FB">
        <w:trPr>
          <w:jc w:val="center"/>
        </w:trPr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Episode Length</w:t>
            </w:r>
          </w:p>
        </w:tc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96 steps</w:t>
            </w:r>
          </w:p>
        </w:tc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13.49–17.33 €</w:t>
            </w:r>
          </w:p>
        </w:tc>
        <w:tc>
          <w:tcPr>
            <w:tcW w:w="2578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≥0.96</w:t>
            </w:r>
          </w:p>
        </w:tc>
      </w:tr>
    </w:tbl>
    <w:p w:rsidR="000E35FB" w:rsidRDefault="00656784">
      <w:pPr>
        <w:spacing w:after="80" w:line="269" w:lineRule="auto"/>
      </w:pPr>
      <w:r>
        <w:t>All variations maintain real-time inference capability and zero hard-constraint violations.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E35FB">
        <w:trPr>
          <w:jc w:val="center"/>
        </w:trPr>
        <w:tc>
          <w:tcPr>
            <w:tcW w:w="10312" w:type="dxa"/>
            <w:shd w:val="clear" w:color="auto" w:fill="1F4E79"/>
            <w:vAlign w:val="center"/>
          </w:tcPr>
          <w:p w:rsidR="000E35FB" w:rsidRDefault="00656784">
            <w:pPr>
              <w:spacing w:after="0"/>
            </w:pPr>
            <w:r>
              <w:rPr>
                <w:b/>
                <w:color w:val="FFFFFF"/>
                <w:sz w:val="26"/>
              </w:rPr>
              <w:t>Usage Instructions</w:t>
            </w:r>
          </w:p>
        </w:tc>
      </w:tr>
    </w:tbl>
    <w:p w:rsidR="000E35FB" w:rsidRDefault="00656784">
      <w:pPr>
        <w:pStyle w:val="SubSection"/>
        <w:spacing w:before="120" w:after="60"/>
      </w:pPr>
      <w:r>
        <w:t>Prerequisites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E35FB">
        <w:trPr>
          <w:jc w:val="center"/>
        </w:trPr>
        <w:tc>
          <w:tcPr>
            <w:tcW w:w="10312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F3F6FA"/>
          </w:tcPr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>Python &gt;= 3.9</w:t>
            </w:r>
          </w:p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>TensorFlow &gt;= 2.12</w:t>
            </w:r>
          </w:p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>TensorFlow Probability &gt;= 0.20</w:t>
            </w:r>
          </w:p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>pandas, numpy, matplotlib, gym</w:t>
            </w:r>
          </w:p>
        </w:tc>
      </w:tr>
    </w:tbl>
    <w:p w:rsidR="000E35FB" w:rsidRDefault="00656784">
      <w:pPr>
        <w:pStyle w:val="SubSection"/>
        <w:spacing w:before="120" w:after="60"/>
      </w:pPr>
      <w:r>
        <w:t>Quick Start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E35FB">
        <w:trPr>
          <w:jc w:val="center"/>
        </w:trPr>
        <w:tc>
          <w:tcPr>
            <w:tcW w:w="10312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F3F6FA"/>
          </w:tcPr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># Clone repository</w:t>
            </w:r>
          </w:p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>git clone https://github.com/yourusername/smart-home-ems-dataset.git</w:t>
            </w:r>
          </w:p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>cd smart-home-ems-dataset</w:t>
            </w:r>
          </w:p>
          <w:p w:rsidR="000E35FB" w:rsidRDefault="000E35FB">
            <w:pPr>
              <w:spacing w:after="0"/>
            </w:pPr>
          </w:p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># Install dependencies</w:t>
            </w:r>
          </w:p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 xml:space="preserve">pip </w:t>
            </w:r>
            <w:r>
              <w:rPr>
                <w:rFonts w:ascii="Consolas" w:eastAsia="Consolas" w:hAnsi="Consolas"/>
                <w:color w:val="1F1F1F"/>
                <w:sz w:val="18"/>
              </w:rPr>
              <w:t>install -r code/requirements.txt</w:t>
            </w:r>
          </w:p>
          <w:p w:rsidR="000E35FB" w:rsidRDefault="000E35FB">
            <w:pPr>
              <w:spacing w:after="0"/>
            </w:pPr>
          </w:p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># Explore data</w:t>
            </w:r>
          </w:p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>python -m notebooks.01_data_exploration</w:t>
            </w:r>
          </w:p>
          <w:p w:rsidR="000E35FB" w:rsidRDefault="000E35FB">
            <w:pPr>
              <w:spacing w:after="0"/>
            </w:pPr>
          </w:p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># Reproduce main results</w:t>
            </w:r>
          </w:p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>python code/test.py --config configs/realtime_96step.yaml</w:t>
            </w:r>
          </w:p>
          <w:p w:rsidR="000E35FB" w:rsidRDefault="000E35FB">
            <w:pPr>
              <w:spacing w:after="0"/>
            </w:pPr>
          </w:p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># Run sensitivity analysis</w:t>
            </w:r>
          </w:p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>python -m notebooks.04_sensitivity_analysis</w:t>
            </w:r>
          </w:p>
        </w:tc>
      </w:tr>
    </w:tbl>
    <w:p w:rsidR="000E35FB" w:rsidRDefault="00656784">
      <w:pPr>
        <w:pStyle w:val="SubSection"/>
        <w:spacing w:before="120" w:after="60"/>
      </w:pPr>
      <w:r>
        <w:lastRenderedPageBreak/>
        <w:t>Reproducin</w:t>
      </w:r>
      <w:r>
        <w:t>g Figures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E35FB">
        <w:trPr>
          <w:jc w:val="center"/>
        </w:trPr>
        <w:tc>
          <w:tcPr>
            <w:tcW w:w="10312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F3F6FA"/>
          </w:tcPr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>python code/plot_utils.py --figure Fig_13 --output results/figures/</w:t>
            </w:r>
          </w:p>
        </w:tc>
      </w:tr>
    </w:tbl>
    <w:p w:rsidR="000E35FB" w:rsidRDefault="00656784">
      <w:pPr>
        <w:pStyle w:val="SubSection"/>
        <w:spacing w:before="120" w:after="60"/>
      </w:pPr>
      <w:r>
        <w:t>Custom Simulations</w:t>
      </w:r>
    </w:p>
    <w:p w:rsidR="000E35FB" w:rsidRDefault="000E35FB"/>
    <w:p w:rsidR="000E35FB" w:rsidRDefault="00656784">
      <w:pPr>
        <w:ind w:left="360"/>
      </w:pPr>
      <w:r>
        <w:t>• Adjust renewable capacity scaling (±50%)</w:t>
      </w:r>
    </w:p>
    <w:p w:rsidR="000E35FB" w:rsidRDefault="00656784">
      <w:pPr>
        <w:ind w:left="360"/>
      </w:pPr>
      <w:r>
        <w:t>• Change comfort bounds or appliance schedules</w:t>
      </w:r>
    </w:p>
    <w:p w:rsidR="000E35FB" w:rsidRDefault="00656784">
      <w:pPr>
        <w:ind w:left="360"/>
      </w:pPr>
      <w:r>
        <w:t>• Test alternative pricing profiles</w:t>
      </w:r>
    </w:p>
    <w:p w:rsidR="000E35FB" w:rsidRDefault="00656784">
      <w:pPr>
        <w:ind w:left="360"/>
      </w:pPr>
      <w:r>
        <w:t xml:space="preserve">• Evaluate different ESS/EV </w:t>
      </w:r>
      <w:r>
        <w:t>sizing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E35FB">
        <w:trPr>
          <w:jc w:val="center"/>
        </w:trPr>
        <w:tc>
          <w:tcPr>
            <w:tcW w:w="10312" w:type="dxa"/>
            <w:shd w:val="clear" w:color="auto" w:fill="1F4E79"/>
            <w:vAlign w:val="center"/>
          </w:tcPr>
          <w:p w:rsidR="000E35FB" w:rsidRDefault="00656784">
            <w:pPr>
              <w:spacing w:after="0"/>
            </w:pPr>
            <w:r>
              <w:rPr>
                <w:b/>
                <w:color w:val="FFFFFF"/>
                <w:sz w:val="26"/>
              </w:rPr>
              <w:t>Citation</w:t>
            </w:r>
          </w:p>
        </w:tc>
      </w:tr>
    </w:tbl>
    <w:p w:rsidR="000E35FB" w:rsidRDefault="00656784">
      <w:pPr>
        <w:spacing w:after="80" w:line="269" w:lineRule="auto"/>
      </w:pPr>
      <w:r>
        <w:t>If you use this dataset or code in your research, please cite the following references.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E35FB">
        <w:trPr>
          <w:jc w:val="center"/>
        </w:trPr>
        <w:tc>
          <w:tcPr>
            <w:tcW w:w="10312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F3F6FA"/>
          </w:tcPr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>@article{rehman2026digital,</w:t>
            </w:r>
          </w:p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 xml:space="preserve">  title={Digital Twin-Augmented Proximal Policy Optimization for Real-Time Home Energy Management: Addressing Uncertainties</w:t>
            </w:r>
            <w:r>
              <w:rPr>
                <w:rFonts w:ascii="Consolas" w:eastAsia="Consolas" w:hAnsi="Consolas"/>
                <w:color w:val="1F1F1F"/>
                <w:sz w:val="18"/>
              </w:rPr>
              <w:t xml:space="preserve"> in Renewables, Pricing, and Loads},</w:t>
            </w:r>
          </w:p>
          <w:p w:rsidR="000E35FB" w:rsidRDefault="00963FC2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 xml:space="preserve">  author</w:t>
            </w:r>
            <w:proofErr w:type="gramStart"/>
            <w:r>
              <w:rPr>
                <w:rFonts w:ascii="Consolas" w:eastAsia="Consolas" w:hAnsi="Consolas"/>
                <w:color w:val="1F1F1F"/>
                <w:sz w:val="18"/>
              </w:rPr>
              <w:t>={</w:t>
            </w:r>
            <w:proofErr w:type="spellStart"/>
            <w:proofErr w:type="gramEnd"/>
            <w:r>
              <w:rPr>
                <w:rFonts w:ascii="Consolas" w:eastAsia="Consolas" w:hAnsi="Consolas"/>
                <w:color w:val="1F1F1F"/>
                <w:sz w:val="18"/>
              </w:rPr>
              <w:t>Rehman</w:t>
            </w:r>
            <w:proofErr w:type="spellEnd"/>
            <w:r>
              <w:rPr>
                <w:rFonts w:ascii="Consolas" w:eastAsia="Consolas" w:hAnsi="Consolas"/>
                <w:color w:val="1F1F1F"/>
                <w:sz w:val="18"/>
              </w:rPr>
              <w:t xml:space="preserve">, Ubaid </w:t>
            </w:r>
            <w:proofErr w:type="spellStart"/>
            <w:r>
              <w:rPr>
                <w:rFonts w:ascii="Consolas" w:eastAsia="Consolas" w:hAnsi="Consolas"/>
                <w:color w:val="1F1F1F"/>
                <w:sz w:val="18"/>
              </w:rPr>
              <w:t>ur</w:t>
            </w:r>
            <w:proofErr w:type="spellEnd"/>
            <w:r>
              <w:rPr>
                <w:rFonts w:ascii="Consolas" w:eastAsia="Consolas" w:hAnsi="Consolas"/>
                <w:color w:val="1F1F1F"/>
                <w:sz w:val="18"/>
              </w:rPr>
              <w:t>}</w:t>
            </w:r>
            <w:r w:rsidR="00656784">
              <w:rPr>
                <w:rFonts w:ascii="Consolas" w:eastAsia="Consolas" w:hAnsi="Consolas"/>
                <w:color w:val="1F1F1F"/>
                <w:sz w:val="18"/>
              </w:rPr>
              <w:t>,</w:t>
            </w:r>
          </w:p>
          <w:p w:rsidR="000E35FB" w:rsidRDefault="00963FC2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 xml:space="preserve">  year</w:t>
            </w:r>
            <w:proofErr w:type="gramStart"/>
            <w:r>
              <w:rPr>
                <w:rFonts w:ascii="Consolas" w:eastAsia="Consolas" w:hAnsi="Consolas"/>
                <w:color w:val="1F1F1F"/>
                <w:sz w:val="18"/>
              </w:rPr>
              <w:t>={</w:t>
            </w:r>
            <w:proofErr w:type="gramEnd"/>
            <w:r>
              <w:rPr>
                <w:rFonts w:ascii="Consolas" w:eastAsia="Consolas" w:hAnsi="Consolas"/>
                <w:color w:val="1F1F1F"/>
                <w:sz w:val="18"/>
              </w:rPr>
              <w:t>2026}</w:t>
            </w:r>
            <w:r w:rsidR="00656784">
              <w:rPr>
                <w:rFonts w:ascii="Consolas" w:eastAsia="Consolas" w:hAnsi="Consolas"/>
                <w:color w:val="1F1F1F"/>
                <w:sz w:val="18"/>
              </w:rPr>
              <w:t>,</w:t>
            </w:r>
          </w:p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 xml:space="preserve">  url={https://github.com/yourusername/smart-hom</w:t>
            </w:r>
            <w:bookmarkStart w:id="0" w:name="_GoBack"/>
            <w:bookmarkEnd w:id="0"/>
            <w:r>
              <w:rPr>
                <w:rFonts w:ascii="Consolas" w:eastAsia="Consolas" w:hAnsi="Consolas"/>
                <w:color w:val="1F1F1F"/>
                <w:sz w:val="18"/>
              </w:rPr>
              <w:t>e-ems-dataset}</w:t>
            </w:r>
          </w:p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>}</w:t>
            </w:r>
          </w:p>
        </w:tc>
      </w:tr>
    </w:tbl>
    <w:p w:rsidR="000E35FB" w:rsidRDefault="00656784">
      <w:pPr>
        <w:spacing w:after="80" w:line="269" w:lineRule="auto"/>
      </w:pPr>
      <w:r>
        <w:t>Foundational works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E35FB">
        <w:trPr>
          <w:jc w:val="center"/>
        </w:trPr>
        <w:tc>
          <w:tcPr>
            <w:tcW w:w="10312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F3F6FA"/>
          </w:tcPr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>@article{rehman2025ppo,</w:t>
            </w:r>
          </w:p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 xml:space="preserve">  title={Proximal Policy Optimization–Driven Real-Time Home Energy Management System with Storage and Renewables},</w:t>
            </w:r>
          </w:p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 xml:space="preserve">  author={Rehman, Ubaid ur},</w:t>
            </w:r>
          </w:p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 xml:space="preserve">  journal={Process Integration and Optimization for Sustainability},</w:t>
            </w:r>
          </w:p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 xml:space="preserve">  volume={9},</w:t>
            </w:r>
          </w:p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 xml:space="preserve">  pages={507--536},</w:t>
            </w:r>
          </w:p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 xml:space="preserve">  year={2025},</w:t>
            </w:r>
          </w:p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 xml:space="preserve">  doi={10.1007/s41660-024-00476-6}</w:t>
            </w:r>
          </w:p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>}</w:t>
            </w:r>
          </w:p>
          <w:p w:rsidR="000E35FB" w:rsidRDefault="000E35FB">
            <w:pPr>
              <w:spacing w:after="0"/>
            </w:pPr>
          </w:p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>@article{rehman2025gui,</w:t>
            </w:r>
          </w:p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 xml:space="preserve">  title={A GUI application for real-time home energy management using uncertainty-aware Proximal Policy Optimization with energy storage, electric vehicle, and</w:t>
            </w:r>
            <w:r>
              <w:rPr>
                <w:rFonts w:ascii="Consolas" w:eastAsia="Consolas" w:hAnsi="Consolas"/>
                <w:color w:val="1F1F1F"/>
                <w:sz w:val="18"/>
              </w:rPr>
              <w:t xml:space="preserve"> renewables},</w:t>
            </w:r>
          </w:p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 xml:space="preserve">  author={Rehman, Ubaid ur},</w:t>
            </w:r>
          </w:p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 xml:space="preserve">  journal={Journal of Building Engineering},</w:t>
            </w:r>
          </w:p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 xml:space="preserve">  volume={111},</w:t>
            </w:r>
          </w:p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 xml:space="preserve">  pages={113174},</w:t>
            </w:r>
          </w:p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 xml:space="preserve">  year={2025},</w:t>
            </w:r>
          </w:p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 xml:space="preserve">  doi={10.1016/j.jobe.2025.113174}</w:t>
            </w:r>
          </w:p>
          <w:p w:rsidR="000E35FB" w:rsidRDefault="00656784">
            <w:pPr>
              <w:spacing w:after="0"/>
            </w:pPr>
            <w:r>
              <w:rPr>
                <w:rFonts w:ascii="Consolas" w:eastAsia="Consolas" w:hAnsi="Consolas"/>
                <w:color w:val="1F1F1F"/>
                <w:sz w:val="18"/>
              </w:rPr>
              <w:t>}</w:t>
            </w:r>
          </w:p>
        </w:tc>
      </w:tr>
      <w:tr w:rsidR="000E35FB">
        <w:trPr>
          <w:jc w:val="center"/>
        </w:trPr>
        <w:tc>
          <w:tcPr>
            <w:tcW w:w="10312" w:type="dxa"/>
            <w:shd w:val="clear" w:color="auto" w:fill="1F4E79"/>
            <w:vAlign w:val="center"/>
          </w:tcPr>
          <w:p w:rsidR="000E35FB" w:rsidRDefault="00656784">
            <w:pPr>
              <w:spacing w:after="0"/>
            </w:pPr>
            <w:r>
              <w:rPr>
                <w:b/>
                <w:color w:val="FFFFFF"/>
                <w:sz w:val="26"/>
              </w:rPr>
              <w:t>License, Ethics, and Support</w:t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0E35FB">
        <w:trPr>
          <w:jc w:val="center"/>
        </w:trPr>
        <w:tc>
          <w:tcPr>
            <w:tcW w:w="5156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5156" w:type="dxa"/>
            <w:shd w:val="clear" w:color="auto" w:fill="1F4E79"/>
            <w:vAlign w:val="center"/>
          </w:tcPr>
          <w:p w:rsidR="000E35FB" w:rsidRDefault="00656784">
            <w:pPr>
              <w:jc w:val="center"/>
            </w:pPr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License</w:t>
            </w:r>
          </w:p>
        </w:tc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 xml:space="preserve">MIT License — free for </w:t>
            </w:r>
            <w:r>
              <w:rPr>
                <w:sz w:val="18"/>
              </w:rPr>
              <w:t xml:space="preserve">academic and commercial use with </w:t>
            </w:r>
            <w:r>
              <w:rPr>
                <w:sz w:val="18"/>
              </w:rPr>
              <w:lastRenderedPageBreak/>
              <w:t>attribution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lastRenderedPageBreak/>
              <w:t>Ethics Approval</w:t>
            </w:r>
          </w:p>
        </w:tc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Not required (no human or animal subjects)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Data Privacy</w:t>
            </w:r>
          </w:p>
        </w:tc>
        <w:tc>
          <w:tcPr>
            <w:tcW w:w="5156" w:type="dxa"/>
            <w:shd w:val="clear" w:color="auto" w:fill="EAF1F8"/>
            <w:vAlign w:val="center"/>
          </w:tcPr>
          <w:p w:rsidR="000E35FB" w:rsidRDefault="00656784">
            <w:r>
              <w:rPr>
                <w:sz w:val="18"/>
              </w:rPr>
              <w:t>All data is anonymized, synthetic, or publicly sourced; no personal information included</w:t>
            </w:r>
          </w:p>
        </w:tc>
      </w:tr>
      <w:tr w:rsidR="000E35FB">
        <w:trPr>
          <w:jc w:val="center"/>
        </w:trPr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Conflict of Interest</w:t>
            </w:r>
          </w:p>
        </w:tc>
        <w:tc>
          <w:tcPr>
            <w:tcW w:w="5156" w:type="dxa"/>
            <w:shd w:val="clear" w:color="auto" w:fill="FFFFFF"/>
            <w:vAlign w:val="center"/>
          </w:tcPr>
          <w:p w:rsidR="000E35FB" w:rsidRDefault="00656784">
            <w:r>
              <w:rPr>
                <w:sz w:val="18"/>
              </w:rPr>
              <w:t>None declared</w:t>
            </w:r>
          </w:p>
        </w:tc>
      </w:tr>
    </w:tbl>
    <w:p w:rsidR="000E35FB" w:rsidRDefault="00656784">
      <w:pPr>
        <w:pStyle w:val="SubSection"/>
        <w:spacing w:before="120" w:after="60"/>
      </w:pPr>
      <w:r>
        <w:t>Contributing &amp; Support</w:t>
      </w:r>
    </w:p>
    <w:p w:rsidR="000E35FB" w:rsidRDefault="00656784">
      <w:r>
        <w:rPr>
          <w:b/>
        </w:rPr>
        <w:t xml:space="preserve">1. </w:t>
      </w:r>
      <w:r>
        <w:t>Fork the repository</w:t>
      </w:r>
    </w:p>
    <w:p w:rsidR="000E35FB" w:rsidRDefault="00656784">
      <w:r>
        <w:rPr>
          <w:b/>
        </w:rPr>
        <w:t xml:space="preserve">2. </w:t>
      </w:r>
      <w:r>
        <w:t>Create a feature branch (git checkout -b feature/amazing-feature)</w:t>
      </w:r>
    </w:p>
    <w:p w:rsidR="000E35FB" w:rsidRDefault="00656784">
      <w:r>
        <w:rPr>
          <w:b/>
        </w:rPr>
        <w:t xml:space="preserve">3. </w:t>
      </w:r>
      <w:r>
        <w:t>Commit changes (git commit -m 'Add amazing feature')</w:t>
      </w:r>
    </w:p>
    <w:p w:rsidR="000E35FB" w:rsidRDefault="00656784">
      <w:r>
        <w:rPr>
          <w:b/>
        </w:rPr>
        <w:t xml:space="preserve">4. </w:t>
      </w:r>
      <w:r>
        <w:t>Push to branch (git push origin feature/amazing-feature)</w:t>
      </w:r>
    </w:p>
    <w:p w:rsidR="000E35FB" w:rsidRDefault="00656784">
      <w:r>
        <w:rPr>
          <w:b/>
        </w:rPr>
        <w:t xml:space="preserve">5. </w:t>
      </w:r>
      <w:r>
        <w:t>Open a Pull Request</w:t>
      </w:r>
    </w:p>
    <w:p w:rsidR="000E35FB" w:rsidRDefault="00656784">
      <w:r>
        <w:t>For issues or questions, use GitHub Issues for bug reports and feature requests, or contact ubaid@isep.ipp.pt.</w:t>
      </w:r>
    </w:p>
    <w:p w:rsidR="000E35FB" w:rsidRDefault="00656784">
      <w:pPr>
        <w:pStyle w:val="SubSection"/>
        <w:spacing w:before="120" w:after="60"/>
      </w:pPr>
      <w:r>
        <w:t>Related Resources</w:t>
      </w:r>
    </w:p>
    <w:p w:rsidR="000E35FB" w:rsidRDefault="00656784">
      <w:pPr>
        <w:ind w:left="216"/>
      </w:pPr>
      <w:r>
        <w:t xml:space="preserve">• </w:t>
      </w:r>
      <w:hyperlink r:id="rId8">
        <w:r>
          <w:rPr>
            <w:color w:val="0563C1"/>
            <w:u w:val="single"/>
          </w:rPr>
          <w:t>Digital Twin Concepts for Energy Systems</w:t>
        </w:r>
      </w:hyperlink>
      <w:r>
        <w:t xml:space="preserve"> </w:t>
      </w:r>
    </w:p>
    <w:p w:rsidR="000E35FB" w:rsidRDefault="00656784">
      <w:pPr>
        <w:ind w:left="216"/>
      </w:pPr>
      <w:r>
        <w:t xml:space="preserve">• </w:t>
      </w:r>
      <w:hyperlink r:id="rId9">
        <w:r>
          <w:rPr>
            <w:color w:val="0563C1"/>
            <w:u w:val="single"/>
          </w:rPr>
          <w:t>Proximal Policy Optimization Original Paper</w:t>
        </w:r>
      </w:hyperlink>
      <w:r>
        <w:t xml:space="preserve"> </w:t>
      </w:r>
    </w:p>
    <w:p w:rsidR="000E35FB" w:rsidRDefault="00656784">
      <w:pPr>
        <w:ind w:left="216"/>
      </w:pPr>
      <w:r>
        <w:t xml:space="preserve">• </w:t>
      </w:r>
      <w:hyperlink r:id="rId10">
        <w:r>
          <w:rPr>
            <w:color w:val="0563C1"/>
            <w:u w:val="single"/>
          </w:rPr>
          <w:t>Open Energy Modelling Initiative</w:t>
        </w:r>
      </w:hyperlink>
      <w:r>
        <w:t xml:space="preserve"> </w:t>
      </w:r>
    </w:p>
    <w:p w:rsidR="000E35FB" w:rsidRDefault="00656784">
      <w:pPr>
        <w:ind w:left="216"/>
      </w:pPr>
      <w:r>
        <w:t xml:space="preserve">• </w:t>
      </w:r>
      <w:hyperlink r:id="rId11">
        <w:r>
          <w:rPr>
            <w:color w:val="0563C1"/>
            <w:u w:val="single"/>
          </w:rPr>
          <w:t>IEEE PES</w:t>
        </w:r>
        <w:r>
          <w:rPr>
            <w:color w:val="0563C1"/>
            <w:u w:val="single"/>
          </w:rPr>
          <w:t xml:space="preserve"> Smart Grid Data Repository</w:t>
        </w:r>
      </w:hyperlink>
      <w: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 w:rsidR="000E35FB">
        <w:tc>
          <w:tcPr>
            <w:tcW w:w="10312" w:type="dxa"/>
            <w:tcBorders>
              <w:top w:val="single" w:sz="8" w:space="0" w:color="E0B872"/>
              <w:left w:val="single" w:sz="8" w:space="0" w:color="E0B872"/>
              <w:bottom w:val="single" w:sz="8" w:space="0" w:color="E0B872"/>
              <w:right w:val="single" w:sz="8" w:space="0" w:color="E0B872"/>
            </w:tcBorders>
            <w:shd w:val="clear" w:color="auto" w:fill="FFF4E5"/>
          </w:tcPr>
          <w:p w:rsidR="000E35FB" w:rsidRDefault="00656784">
            <w:r>
              <w:rPr>
                <w:b/>
                <w:color w:val="9A3412"/>
                <w:sz w:val="22"/>
              </w:rPr>
              <w:t>Disclaimer</w:t>
            </w:r>
            <w:r>
              <w:rPr>
                <w:color w:val="7C2D12"/>
                <w:sz w:val="20"/>
              </w:rPr>
              <w:t xml:space="preserve"> This dataset is provided "as is" for research and educational purposes. The authors make no warranties regarding accuracy, completeness, or fitness for a particular purpose. Users are responsible for validating resul</w:t>
            </w:r>
            <w:r>
              <w:rPr>
                <w:color w:val="7C2D12"/>
                <w:sz w:val="20"/>
              </w:rPr>
              <w:t>ts in their specific application contexts.</w:t>
            </w:r>
          </w:p>
        </w:tc>
      </w:tr>
    </w:tbl>
    <w:p w:rsidR="000E35FB" w:rsidRDefault="00656784">
      <w:pPr>
        <w:jc w:val="center"/>
      </w:pPr>
      <w:r>
        <w:rPr>
          <w:i/>
          <w:color w:val="6B7280"/>
          <w:sz w:val="18"/>
        </w:rPr>
        <w:t>Last updated: May 2026 | Maintained by Ubaid ur Rehman, Polytechnic of Porto (ISEP/IPP), Portugal</w:t>
      </w:r>
    </w:p>
    <w:sectPr w:rsidR="000E35FB" w:rsidSect="00034616">
      <w:headerReference w:type="default" r:id="rId12"/>
      <w:footerReference w:type="default" r:id="rId13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6784" w:rsidRDefault="00656784">
      <w:pPr>
        <w:spacing w:after="0" w:line="240" w:lineRule="auto"/>
      </w:pPr>
      <w:r>
        <w:separator/>
      </w:r>
    </w:p>
  </w:endnote>
  <w:endnote w:type="continuationSeparator" w:id="0">
    <w:p w:rsidR="00656784" w:rsidRDefault="00656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35FB" w:rsidRDefault="00656784">
    <w:pPr>
      <w:pStyle w:val="Footer"/>
      <w:jc w:val="center"/>
    </w:pPr>
    <w:r>
      <w:rPr>
        <w:i/>
        <w:color w:val="6B7280"/>
        <w:sz w:val="17"/>
      </w:rPr>
      <w:t>Ubaid ur Rehman | May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6784" w:rsidRDefault="00656784">
      <w:pPr>
        <w:spacing w:after="0" w:line="240" w:lineRule="auto"/>
      </w:pPr>
      <w:r>
        <w:separator/>
      </w:r>
    </w:p>
  </w:footnote>
  <w:footnote w:type="continuationSeparator" w:id="0">
    <w:p w:rsidR="00656784" w:rsidRDefault="006567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35FB" w:rsidRDefault="00656784">
    <w:pPr>
      <w:pStyle w:val="Header"/>
      <w:jc w:val="right"/>
    </w:pPr>
    <w:r>
      <w:rPr>
        <w:b/>
        <w:color w:val="1F4E79"/>
        <w:sz w:val="18"/>
      </w:rPr>
      <w:t>Smart Home Energy Management Dataset &amp; Resul</w:t>
    </w:r>
    <w:r>
      <w:rPr>
        <w:b/>
        <w:color w:val="1F4E79"/>
        <w:sz w:val="18"/>
      </w:rPr>
      <w:t>ts Repository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35FB"/>
    <w:rsid w:val="0015074B"/>
    <w:rsid w:val="0029639D"/>
    <w:rsid w:val="00326F90"/>
    <w:rsid w:val="00656784"/>
    <w:rsid w:val="00963FC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B016C5"/>
  <w14:defaultImageDpi w14:val="300"/>
  <w15:docId w15:val="{9EE0EE22-8E8D-489B-A8D2-5166A5A43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rPr>
      <w:b/>
      <w:color w:val="FFFFFF"/>
      <w:sz w:val="48"/>
    </w:rPr>
  </w:style>
  <w:style w:type="paragraph" w:customStyle="1" w:styleId="SectionBanner">
    <w:name w:val="SectionBanner"/>
    <w:basedOn w:val="Normal"/>
    <w:rPr>
      <w:b/>
      <w:color w:val="FFFFFF"/>
      <w:sz w:val="26"/>
    </w:rPr>
  </w:style>
  <w:style w:type="paragraph" w:customStyle="1" w:styleId="SubSection">
    <w:name w:val="SubSection"/>
    <w:basedOn w:val="Normal"/>
    <w:rPr>
      <w:b/>
      <w:color w:val="1F4E79"/>
      <w:sz w:val="24"/>
    </w:rPr>
  </w:style>
  <w:style w:type="paragraph" w:customStyle="1" w:styleId="BodyEmphasis">
    <w:name w:val="BodyEmphasis"/>
    <w:basedOn w:val="Normal"/>
    <w:rPr>
      <w:b/>
      <w:color w:val="203864"/>
    </w:rPr>
  </w:style>
  <w:style w:type="paragraph" w:customStyle="1" w:styleId="MonoBlock">
    <w:name w:val="MonoBlock"/>
    <w:basedOn w:val="Normal"/>
    <w:rPr>
      <w:color w:val="1F1F1F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topics/engineering/digital-twin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eee-pes.org/publications/data-set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openmod-initiative.or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xiv.org/abs/1707.06347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3196F1-1C8A-4DF8-883B-3DB262493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1542</Words>
  <Characters>8792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Home Energy Management Dataset &amp; Results Repository</dc:title>
  <dc:subject>Formatted repository and dataset documentation</dc:subject>
  <dc:creator>Ubaid ur Rehman</dc:creator>
  <cp:keywords/>
  <dc:description>Prepared by OpenAI ChatGPT</dc:description>
  <cp:lastModifiedBy>Saim</cp:lastModifiedBy>
  <cp:revision>2</cp:revision>
  <dcterms:created xsi:type="dcterms:W3CDTF">2013-12-23T23:15:00Z</dcterms:created>
  <dcterms:modified xsi:type="dcterms:W3CDTF">2026-05-15T08:16:00Z</dcterms:modified>
  <cp:category/>
</cp:coreProperties>
</file>