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none"/>
        </w:tblBorders>
        <w:tblLayout w:type="fixed"/>
        <w:tblCellMar>
          <w:top w:w="0" w:type="dxa"/>
          <w:left w:w="51" w:type="dxa"/>
          <w:bottom w:w="0" w:type="dxa"/>
          <w:right w:w="36" w:type="dxa"/>
        </w:tblCellMar>
      </w:tblPr>
      <w:tblGrid>
        <w:gridCol w:w="675"/>
        <w:gridCol w:w="2025"/>
        <w:gridCol w:w="10800"/>
      </w:tblGrid>
      <w:tr>
        <w:trPr>
          <w:trHeight w:val="0" w:hRule="atLeast"/>
        </w:trPr>
        <w:tc>
          <w:tcPr>
            <w:tcW w:w="675" w:type="dxa"/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2025" w:type="dxa"/>
            <w:tcBorders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Region</w:t>
            </w:r>
          </w:p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Content</w:t>
            </w:r>
          </w:p>
          <w:p>
            <w:pPr>
              <w:pStyle w:val="[Normal]"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75" w:type="dxa"/>
            <w:tcBorders>
              <w:top w:val="nil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025" w:type="dxa"/>
            <w:tcBorders>
              <w:top w:val="nil"/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80,320 - 1110,660</w:t>
            </w:r>
          </w:p>
        </w:tc>
        <w:tc>
          <w:tcPr>
            <w:tcW w:w="10800" w:type="dxa"/>
            <w:tcBorders>
              <w:top w:val="nil"/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rFonts w:ascii="Times New Roman" w:hAnsi="Times New Roman" w:eastAsia="Times New Roman"/>
                <w:shd w:val="clear" w:fill="#FFFFFF"/>
              </w:rPr>
            </w:pPr>
            <w:r>
              <w:rPr>
                <w:rFonts w:ascii="Times New Roman" w:hAnsi="Times New Roman" w:eastAsia="Times New Roman"/>
                <w:shd w:val="clear" w:fill="#FFFFFF"/>
              </w:rPr>
              <w:t xml:space="preserve">South Core Banks</w:t>
            </w:r>
          </w:p>
          <w:p>
            <w:pPr>
              <w:pStyle w:val="[Normal]"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75" w:type="dxa"/>
            <w:tcBorders>
              <w:top w:val="nil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2</w:t>
            </w:r>
          </w:p>
        </w:tc>
        <w:tc>
          <w:tcPr>
            <w:tcW w:w="2025" w:type="dxa"/>
            <w:tcBorders>
              <w:top w:val="nil"/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420,30 - 1110,300</w:t>
            </w:r>
          </w:p>
        </w:tc>
        <w:tc>
          <w:tcPr>
            <w:tcW w:w="10800" w:type="dxa"/>
            <w:tcBorders>
              <w:top w:val="nil"/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rFonts w:ascii="Times New Roman" w:hAnsi="Times New Roman" w:eastAsia="Times New Roman"/>
                <w:shd w:val="clear" w:fill="#FFFFFF"/>
              </w:rPr>
            </w:pPr>
            <w:r>
              <w:rPr>
                <w:rFonts w:ascii="Times New Roman" w:hAnsi="Times New Roman" w:eastAsia="Times New Roman"/>
                <w:shd w:val="clear" w:fill="#FFFFFF"/>
              </w:rPr>
              <w:t xml:space="preserve">Shackleford Banks</w:t>
            </w:r>
          </w:p>
          <w:p>
            <w:pPr>
              <w:pStyle w:val="[Normal]"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75" w:type="dxa"/>
            <w:tcBorders>
              <w:top w:val="nil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3</w:t>
            </w:r>
          </w:p>
        </w:tc>
        <w:tc>
          <w:tcPr>
            <w:tcW w:w="2025" w:type="dxa"/>
            <w:tcBorders>
              <w:top w:val="nil"/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380,310 - 590,480</w:t>
            </w:r>
          </w:p>
        </w:tc>
        <w:tc>
          <w:tcPr>
            <w:tcW w:w="10800" w:type="dxa"/>
            <w:tcBorders>
              <w:top w:val="nil"/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rFonts w:ascii="Calibri" w:hAnsi="Calibri" w:eastAsia="Calibri"/>
                <w:sz w:val="22"/>
                <w:shd w:val="clear" w:fill="#FFFFFF"/>
              </w:rPr>
            </w:pPr>
            <w:r>
              <w:rPr>
                <w:rFonts w:ascii="Calibri" w:hAnsi="Calibri" w:eastAsia="Calibri"/>
                <w:color w:val="#0000FF"/>
                <w:sz w:val="22"/>
                <w:u w:val="single"/>
                <w:shd w:val="clear" w:fill="#FFFFFF"/>
              </w:rPr>
              <w:t xml:space="preserve">Cape Lookout lighthouse &lt;http://www.lighthousefriends.com/light.asp?ID=354&gt;</w:t>
            </w:r>
          </w:p>
          <w:p>
            <w:pPr>
              <w:pStyle w:val="[Normal]"/>
              <w:rPr>
                <w:sz w:val="20"/>
              </w:rPr>
            </w:pPr>
          </w:p>
        </w:tc>
      </w:tr>
    </w:tbl>
    <w:p>
      <w:pPr>
        <w:pStyle w:val="[Normal]"/>
        <w:rPr>
          <w:sz w:val="20"/>
        </w:rPr>
      </w:pPr>
    </w:p>
    <w:sectPr>
      <w:pgSz w:w="15840" w:h="122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Calibri">
    <w:charset w:val="00"/>
    <w:family w:val="swiss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