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UBEC Protocol Suite</w:t>
      </w:r>
    </w:p>
    <w:p>
      <w:pPr>
        <w:spacing w:after="120"/>
        <w:jc w:val="center"/>
      </w:pPr>
      <w:r>
        <w:rPr>
          <w:b/>
          <w:bCs/>
          <w:color w:val="2c5aa0"/>
          <w:sz w:val="32"/>
          <w:szCs w:val="32"/>
        </w:rPr>
        <w:t xml:space="preserve">Comprehensive Status Report</w:t>
      </w:r>
    </w:p>
    <w:p>
      <w:pPr>
        <w:spacing w:after="360"/>
        <w:jc w:val="center"/>
      </w:pPr>
      <w:r>
        <w:rPr>
          <w:i/>
          <w:iCs/>
          <w:color w:val="666666"/>
          <w:sz w:val="26"/>
          <w:szCs w:val="26"/>
        </w:rPr>
        <w:t xml:space="preserve">Ubuntu Bioregional Economic Commons</w:t>
      </w:r>
    </w:p>
    <w:p>
      <w:pPr>
        <w:spacing w:after="120"/>
        <w:jc w:val="center"/>
      </w:pPr>
      <w:r>
        <w:rPr>
          <w:sz w:val="22"/>
          <w:szCs w:val="22"/>
        </w:rPr>
        <w:t xml:space="preserve">Report Date: November 28, 2025</w:t>
      </w:r>
    </w:p>
    <w:p>
      <w:pPr>
        <w:spacing w:after="120"/>
        <w:jc w:val="center"/>
      </w:pPr>
      <w:r>
        <w:rPr>
          <w:b/>
          <w:bCs/>
          <w:color w:val="228B22"/>
          <w:sz w:val="22"/>
          <w:szCs w:val="22"/>
        </w:rPr>
        <w:t xml:space="preserve">Project Status: 85-90% Complete | Operational</w:t>
      </w:r>
    </w:p>
    <w:p>
      <w:pPr>
        <w:spacing w:after="120"/>
        <w:jc w:val="center"/>
      </w:pPr>
      <w:r>
        <w:rPr>
          <w:sz w:val="22"/>
          <w:szCs w:val="22"/>
        </w:rPr>
        <w:t xml:space="preserve">Target Production Launch: December 15, 2025</w:t>
      </w:r>
    </w:p>
    <w:p>
      <w:pPr>
        <w:spacing w:after="480"/>
        <w:jc w:val="center"/>
      </w:pPr>
      <w:r>
        <w:rPr>
          <w:color w:val="666666"/>
          <w:sz w:val="20"/>
          <w:szCs w:val="20"/>
        </w:rPr>
        <w:t xml:space="preserve">Network: Stellar Mainnet | Database: PostgreSQL 15.13</w:t>
      </w:r>
    </w:p>
    <w:p>
      <w:pPr>
        <w:pStyle w:val="Heading1"/>
      </w:pPr>
      <w:r>
        <w:t xml:space="preserve">Executive Summary</w:t>
      </w:r>
    </w:p>
    <w:p>
      <w:pPr>
        <w:spacing w:after="200"/>
      </w:pPr>
      <w:r>
        <w:t xml:space="preserve">The UBEC Protocol Suite is an advanced blockchain-based economic system implementing Ubuntu philosophical principles through a sophisticated four-element token ecosystem on the Stellar network. The project successfully combines ancient wisdom ("I am because we are") with modern distributed ledger technology to create regenerative economic infrastructure supporting small farms and local food sovereignty.</w:t>
      </w:r>
    </w:p>
    <w:p>
      <w:pPr>
        <w:pStyle w:val="Heading2"/>
      </w:pPr>
      <w:r>
        <w:t xml:space="preserve">Critical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a4480" w:val="clear"/>
          </w:tcPr>
          <w:p>
            <w:pPr>
              <w:jc w:val="center"/>
            </w:pPr>
            <w:r>
              <w:rPr>
                <w:b/>
                <w:bCs/>
                <w:color w:val="FFFFFF"/>
                <w:sz w:val="22"/>
                <w:szCs w:val="22"/>
              </w:rPr>
              <w:t xml:space="preserve">Metric</w:t>
            </w:r>
          </w:p>
        </w:tc>
        <w:tc>
          <w:tcPr>
            <w:tcW w:type="dxa" w:w="1500"/>
            <w:tcBorders>
              <w:top w:val="single" w:color="CCCCCC" w:sz="1"/>
              <w:left w:val="single" w:color="CCCCCC" w:sz="1"/>
              <w:bottom w:val="single" w:color="CCCCCC" w:sz="1"/>
              <w:right w:val="single" w:color="CCCCCC" w:sz="1"/>
            </w:tcBorders>
            <w:shd w:fill="1a4480" w:val="clear"/>
          </w:tcPr>
          <w:p>
            <w:pPr>
              <w:jc w:val="center"/>
            </w:pPr>
            <w:r>
              <w:rPr>
                <w:b/>
                <w:bCs/>
                <w:color w:val="FFFFFF"/>
                <w:sz w:val="22"/>
                <w:szCs w:val="22"/>
              </w:rPr>
              <w:t xml:space="preserve">Status</w:t>
            </w:r>
          </w:p>
        </w:tc>
        <w:tc>
          <w:tcPr>
            <w:tcW w:type="dxa" w:w="4360"/>
            <w:tcBorders>
              <w:top w:val="single" w:color="CCCCCC" w:sz="1"/>
              <w:left w:val="single" w:color="CCCCCC" w:sz="1"/>
              <w:bottom w:val="single" w:color="CCCCCC" w:sz="1"/>
              <w:right w:val="single" w:color="CCCCCC" w:sz="1"/>
            </w:tcBorders>
            <w:shd w:fill="1a4480" w:val="clear"/>
          </w:tcPr>
          <w:p>
            <w:pPr>
              <w:jc w:val="center"/>
            </w:pPr>
            <w:r>
              <w:rPr>
                <w:b/>
                <w:bCs/>
                <w:color w:val="FFFFFF"/>
                <w:sz w:val="22"/>
                <w:szCs w:val="22"/>
              </w:rPr>
              <w:t xml:space="preserve">Details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Project Completion</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85-90%</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Core architecture and implementation complete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Token Deployment</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100% ✓</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All 4 tokens live on Stellar mainnet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Database Infrastructure</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100% ✓</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82 tables, 60,312+ records, 4 schemas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Design Principles</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100% ✓</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Full compliance with all 12 principles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Services Operational</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93% ✓</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14 of 15 services fully functional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Documentation</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80% ✓</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Comprehensive technical docs, user guides partial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Testing Coverage</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60%</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Functional, expansion to 80% in progress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Production Readiness</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70%</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Core systems ready, hardening in progress</w:t>
            </w:r>
          </w:p>
        </w:tc>
      </w:tr>
    </w:tbl>
    <w:p>
      <w:r>
        <w:br w:type="page"/>
      </w:r>
    </w:p>
    <w:p>
      <w:pPr>
        <w:pStyle w:val="Heading1"/>
      </w:pPr>
      <w:r>
        <w:t xml:space="preserve">The Four-Element Token Ecosystem</w:t>
      </w:r>
    </w:p>
    <w:p>
      <w:pPr>
        <w:spacing w:after="200"/>
      </w:pPr>
      <w:r>
        <w:t xml:space="preserve">The UBEC Protocol Suite implements Ubuntu philosophy through four interconnected tokens, each representing a classical element and embodying a specific Ubuntu principle. All four tokens are successfully deployed and operational on Stellar mainnet.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800"/>
        <w:gridCol w:w="1560"/>
      </w:tblGrid>
      <w:tr>
        <w:trPr>
          <w:tblHeader/>
        </w:trPr>
        <w:tc>
          <w:tcPr>
            <w:tcW w:type="dxa" w:w="180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Element</w:t>
            </w:r>
          </w:p>
        </w:tc>
        <w:tc>
          <w:tcPr>
            <w:tcW w:type="dxa" w:w="220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Ubuntu Principle</w:t>
            </w:r>
          </w:p>
        </w:tc>
        <w:tc>
          <w:tcPr>
            <w:tcW w:type="dxa" w:w="180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Holders</w:t>
            </w:r>
          </w:p>
        </w:tc>
        <w:tc>
          <w:tcPr>
            <w:tcW w:type="dxa" w:w="156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UBEC</w:t>
            </w:r>
          </w:p>
        </w:tc>
        <w:tc>
          <w:tcPr>
            <w:tcW w:type="dxa" w:w="2000"/>
            <w:tcBorders>
              <w:top w:val="single" w:color="CCCCCC" w:sz="1"/>
              <w:left w:val="single" w:color="CCCCCC" w:sz="1"/>
              <w:bottom w:val="single" w:color="CCCCCC" w:sz="1"/>
              <w:right w:val="single" w:color="CCCCCC" w:sz="1"/>
            </w:tcBorders>
          </w:tcPr>
          <w:p>
            <w:r>
              <w:rPr>
                <w:sz w:val="20"/>
                <w:szCs w:val="20"/>
              </w:rPr>
              <w:t xml:space="preserve">Air (Diversity)</w:t>
            </w:r>
          </w:p>
        </w:tc>
        <w:tc>
          <w:tcPr>
            <w:tcW w:type="dxa" w:w="2200"/>
            <w:tcBorders>
              <w:top w:val="single" w:color="CCCCCC" w:sz="1"/>
              <w:left w:val="single" w:color="CCCCCC" w:sz="1"/>
              <w:bottom w:val="single" w:color="CCCCCC" w:sz="1"/>
              <w:right w:val="single" w:color="CCCCCC" w:sz="1"/>
            </w:tcBorders>
          </w:tcPr>
          <w:p>
            <w:r>
              <w:rPr>
                <w:sz w:val="20"/>
                <w:szCs w:val="20"/>
              </w:rPr>
              <w:t xml:space="preserve">Gateway &amp; Access</w:t>
            </w:r>
          </w:p>
        </w:tc>
        <w:tc>
          <w:tcPr>
            <w:tcW w:type="dxa" w:w="1800"/>
            <w:tcBorders>
              <w:top w:val="single" w:color="CCCCCC" w:sz="1"/>
              <w:left w:val="single" w:color="CCCCCC" w:sz="1"/>
              <w:bottom w:val="single" w:color="CCCCCC" w:sz="1"/>
              <w:right w:val="single" w:color="CCCCCC" w:sz="1"/>
            </w:tcBorders>
          </w:tcPr>
          <w:p>
            <w:pPr>
              <w:jc w:val="center"/>
            </w:pPr>
            <w:r>
              <w:rPr>
                <w:sz w:val="20"/>
                <w:szCs w:val="20"/>
              </w:rPr>
              <w:t xml:space="preserve">643</w:t>
            </w:r>
          </w:p>
        </w:tc>
        <w:tc>
          <w:tcPr>
            <w:tcW w:type="dxa" w:w="1560"/>
            <w:tcBorders>
              <w:top w:val="single" w:color="CCCCCC" w:sz="1"/>
              <w:left w:val="single" w:color="CCCCCC" w:sz="1"/>
              <w:bottom w:val="single" w:color="CCCCCC" w:sz="1"/>
              <w:right w:val="single" w:color="CCCCCC" w:sz="1"/>
            </w:tcBorders>
          </w:tcPr>
          <w:p>
            <w:pPr>
              <w:jc w:val="center"/>
            </w:pPr>
            <w:r>
              <w:rPr>
                <w:color w:val="228B22"/>
                <w:sz w:val="20"/>
                <w:szCs w:val="20"/>
              </w:rPr>
              <w:t xml:space="preserve">Live ✓</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UBECrc</w:t>
            </w:r>
          </w:p>
        </w:tc>
        <w:tc>
          <w:tcPr>
            <w:tcW w:type="dxa" w:w="2000"/>
            <w:tcBorders>
              <w:top w:val="single" w:color="CCCCCC" w:sz="1"/>
              <w:left w:val="single" w:color="CCCCCC" w:sz="1"/>
              <w:bottom w:val="single" w:color="CCCCCC" w:sz="1"/>
              <w:right w:val="single" w:color="CCCCCC" w:sz="1"/>
            </w:tcBorders>
          </w:tcPr>
          <w:p>
            <w:r>
              <w:rPr>
                <w:sz w:val="20"/>
                <w:szCs w:val="20"/>
              </w:rPr>
              <w:t xml:space="preserve">Water (Reciprocity)</w:t>
            </w:r>
          </w:p>
        </w:tc>
        <w:tc>
          <w:tcPr>
            <w:tcW w:type="dxa" w:w="2200"/>
            <w:tcBorders>
              <w:top w:val="single" w:color="CCCCCC" w:sz="1"/>
              <w:left w:val="single" w:color="CCCCCC" w:sz="1"/>
              <w:bottom w:val="single" w:color="CCCCCC" w:sz="1"/>
              <w:right w:val="single" w:color="CCCCCC" w:sz="1"/>
            </w:tcBorders>
          </w:tcPr>
          <w:p>
            <w:r>
              <w:rPr>
                <w:sz w:val="20"/>
                <w:szCs w:val="20"/>
              </w:rPr>
              <w:t xml:space="preserve">Flow &amp; Exchange</w:t>
            </w:r>
          </w:p>
        </w:tc>
        <w:tc>
          <w:tcPr>
            <w:tcW w:type="dxa" w:w="1800"/>
            <w:tcBorders>
              <w:top w:val="single" w:color="CCCCCC" w:sz="1"/>
              <w:left w:val="single" w:color="CCCCCC" w:sz="1"/>
              <w:bottom w:val="single" w:color="CCCCCC" w:sz="1"/>
              <w:right w:val="single" w:color="CCCCCC" w:sz="1"/>
            </w:tcBorders>
          </w:tcPr>
          <w:p>
            <w:pPr>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tcPr>
          <w:p>
            <w:pPr>
              <w:jc w:val="center"/>
            </w:pPr>
            <w:r>
              <w:rPr>
                <w:color w:val="228B22"/>
                <w:sz w:val="20"/>
                <w:szCs w:val="20"/>
              </w:rPr>
              <w:t xml:space="preserve">Live ✓</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UBECgpi</w:t>
            </w:r>
          </w:p>
        </w:tc>
        <w:tc>
          <w:tcPr>
            <w:tcW w:type="dxa" w:w="2000"/>
            <w:tcBorders>
              <w:top w:val="single" w:color="CCCCCC" w:sz="1"/>
              <w:left w:val="single" w:color="CCCCCC" w:sz="1"/>
              <w:bottom w:val="single" w:color="CCCCCC" w:sz="1"/>
              <w:right w:val="single" w:color="CCCCCC" w:sz="1"/>
            </w:tcBorders>
          </w:tcPr>
          <w:p>
            <w:r>
              <w:rPr>
                <w:sz w:val="20"/>
                <w:szCs w:val="20"/>
              </w:rPr>
              <w:t xml:space="preserve">Earth (Mutualism)</w:t>
            </w:r>
          </w:p>
        </w:tc>
        <w:tc>
          <w:tcPr>
            <w:tcW w:type="dxa" w:w="2200"/>
            <w:tcBorders>
              <w:top w:val="single" w:color="CCCCCC" w:sz="1"/>
              <w:left w:val="single" w:color="CCCCCC" w:sz="1"/>
              <w:bottom w:val="single" w:color="CCCCCC" w:sz="1"/>
              <w:right w:val="single" w:color="CCCCCC" w:sz="1"/>
            </w:tcBorders>
          </w:tcPr>
          <w:p>
            <w:r>
              <w:rPr>
                <w:sz w:val="20"/>
                <w:szCs w:val="20"/>
              </w:rPr>
              <w:t xml:space="preserve">Stability &amp; Foundation</w:t>
            </w:r>
          </w:p>
        </w:tc>
        <w:tc>
          <w:tcPr>
            <w:tcW w:type="dxa" w:w="1800"/>
            <w:tcBorders>
              <w:top w:val="single" w:color="CCCCCC" w:sz="1"/>
              <w:left w:val="single" w:color="CCCCCC" w:sz="1"/>
              <w:bottom w:val="single" w:color="CCCCCC" w:sz="1"/>
              <w:right w:val="single" w:color="CCCCCC" w:sz="1"/>
            </w:tcBorders>
          </w:tcPr>
          <w:p>
            <w:pPr>
              <w:jc w:val="center"/>
            </w:pPr>
            <w:r>
              <w:rPr>
                <w:sz w:val="20"/>
                <w:szCs w:val="20"/>
              </w:rPr>
              <w:t xml:space="preserve">3</w:t>
            </w:r>
          </w:p>
        </w:tc>
        <w:tc>
          <w:tcPr>
            <w:tcW w:type="dxa" w:w="1560"/>
            <w:tcBorders>
              <w:top w:val="single" w:color="CCCCCC" w:sz="1"/>
              <w:left w:val="single" w:color="CCCCCC" w:sz="1"/>
              <w:bottom w:val="single" w:color="CCCCCC" w:sz="1"/>
              <w:right w:val="single" w:color="CCCCCC" w:sz="1"/>
            </w:tcBorders>
          </w:tcPr>
          <w:p>
            <w:pPr>
              <w:jc w:val="center"/>
            </w:pPr>
            <w:r>
              <w:rPr>
                <w:color w:val="228B22"/>
                <w:sz w:val="20"/>
                <w:szCs w:val="20"/>
              </w:rPr>
              <w:t xml:space="preserve">Live ✓</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UBECtt</w:t>
            </w:r>
          </w:p>
        </w:tc>
        <w:tc>
          <w:tcPr>
            <w:tcW w:type="dxa" w:w="2000"/>
            <w:tcBorders>
              <w:top w:val="single" w:color="CCCCCC" w:sz="1"/>
              <w:left w:val="single" w:color="CCCCCC" w:sz="1"/>
              <w:bottom w:val="single" w:color="CCCCCC" w:sz="1"/>
              <w:right w:val="single" w:color="CCCCCC" w:sz="1"/>
            </w:tcBorders>
          </w:tcPr>
          <w:p>
            <w:r>
              <w:rPr>
                <w:sz w:val="20"/>
                <w:szCs w:val="20"/>
              </w:rPr>
              <w:t xml:space="preserve">Fire (Regeneration)</w:t>
            </w:r>
          </w:p>
        </w:tc>
        <w:tc>
          <w:tcPr>
            <w:tcW w:type="dxa" w:w="2200"/>
            <w:tcBorders>
              <w:top w:val="single" w:color="CCCCCC" w:sz="1"/>
              <w:left w:val="single" w:color="CCCCCC" w:sz="1"/>
              <w:bottom w:val="single" w:color="CCCCCC" w:sz="1"/>
              <w:right w:val="single" w:color="CCCCCC" w:sz="1"/>
            </w:tcBorders>
          </w:tcPr>
          <w:p>
            <w:r>
              <w:rPr>
                <w:sz w:val="20"/>
                <w:szCs w:val="20"/>
              </w:rPr>
              <w:t xml:space="preserve">Transform &amp; Renewal</w:t>
            </w:r>
          </w:p>
        </w:tc>
        <w:tc>
          <w:tcPr>
            <w:tcW w:type="dxa" w:w="1800"/>
            <w:tcBorders>
              <w:top w:val="single" w:color="CCCCCC" w:sz="1"/>
              <w:left w:val="single" w:color="CCCCCC" w:sz="1"/>
              <w:bottom w:val="single" w:color="CCCCCC" w:sz="1"/>
              <w:right w:val="single" w:color="CCCCCC" w:sz="1"/>
            </w:tcBorders>
          </w:tcPr>
          <w:p>
            <w:pPr>
              <w:jc w:val="center"/>
            </w:pPr>
            <w:r>
              <w:rPr>
                <w:sz w:val="20"/>
                <w:szCs w:val="20"/>
              </w:rPr>
              <w:t xml:space="preserve">1</w:t>
            </w:r>
          </w:p>
        </w:tc>
        <w:tc>
          <w:tcPr>
            <w:tcW w:type="dxa" w:w="1560"/>
            <w:tcBorders>
              <w:top w:val="single" w:color="CCCCCC" w:sz="1"/>
              <w:left w:val="single" w:color="CCCCCC" w:sz="1"/>
              <w:bottom w:val="single" w:color="CCCCCC" w:sz="1"/>
              <w:right w:val="single" w:color="CCCCCC" w:sz="1"/>
            </w:tcBorders>
          </w:tcPr>
          <w:p>
            <w:pPr>
              <w:jc w:val="center"/>
            </w:pPr>
            <w:r>
              <w:rPr>
                <w:color w:val="228B22"/>
                <w:sz w:val="20"/>
                <w:szCs w:val="20"/>
              </w:rPr>
              <w:t xml:space="preserve">Live ✓</w:t>
            </w:r>
          </w:p>
        </w:tc>
      </w:tr>
    </w:tbl>
    <w:p>
      <w:pPr>
        <w:spacing w:before="200" w:after="200"/>
      </w:pPr>
      <w:r>
        <w:rPr>
          <w:b/>
          <w:bCs/>
        </w:rPr>
        <w:t xml:space="preserve">Distribution Note: </w:t>
      </w:r>
      <w:r>
        <w:t xml:space="preserve">The UBEC token has achieved significant community distribution (643 holders), while the other three tokens are in strategic phased deployment awaiting coordinated distribution campaigns planned for the December 15, 2025 production launch.</w:t>
      </w:r>
    </w:p>
    <w:p>
      <w:pPr>
        <w:pStyle w:val="Heading1"/>
      </w:pPr>
      <w:r>
        <w:t xml:space="preserve">Technical Architecture</w:t>
      </w:r>
    </w:p>
    <w:p>
      <w:pPr>
        <w:pStyle w:val="Heading2"/>
      </w:pPr>
      <w:r>
        <w:t xml:space="preserve">Technology Stack</w:t>
      </w:r>
    </w:p>
    <w:p>
      <w:pPr>
        <w:pStyle w:val="ListParagraph"/>
        <w:numPr>
          <w:ilvl w:val="0"/>
          <w:numId w:val="2"/>
        </w:numPr>
      </w:pPr>
      <w:r>
        <w:rPr>
          <w:b/>
          <w:bCs/>
        </w:rPr>
        <w:t xml:space="preserve">Blockchain: </w:t>
      </w:r>
      <w:r>
        <w:t xml:space="preserve">Stellar Mainnet via Horizon REST API</w:t>
      </w:r>
    </w:p>
    <w:p>
      <w:pPr>
        <w:pStyle w:val="ListParagraph"/>
        <w:numPr>
          <w:ilvl w:val="0"/>
          <w:numId w:val="2"/>
        </w:numPr>
      </w:pPr>
      <w:r>
        <w:rPr>
          <w:b/>
          <w:bCs/>
        </w:rPr>
        <w:t xml:space="preserve">Database: </w:t>
      </w:r>
      <w:r>
        <w:t xml:space="preserve">PostgreSQL 15.13 with PostGIS extensions</w:t>
      </w:r>
    </w:p>
    <w:p>
      <w:pPr>
        <w:pStyle w:val="ListParagraph"/>
        <w:numPr>
          <w:ilvl w:val="0"/>
          <w:numId w:val="2"/>
        </w:numPr>
      </w:pPr>
      <w:r>
        <w:rPr>
          <w:b/>
          <w:bCs/>
        </w:rPr>
        <w:t xml:space="preserve">Backend: </w:t>
      </w:r>
      <w:r>
        <w:t xml:space="preserve">Python 3.11+ with 100% asyncio operations</w:t>
      </w:r>
    </w:p>
    <w:p>
      <w:pPr>
        <w:pStyle w:val="ListParagraph"/>
        <w:numPr>
          <w:ilvl w:val="0"/>
          <w:numId w:val="2"/>
        </w:numPr>
      </w:pPr>
      <w:r>
        <w:rPr>
          <w:b/>
          <w:bCs/>
        </w:rPr>
        <w:t xml:space="preserve">Architecture: </w:t>
      </w:r>
      <w:r>
        <w:t xml:space="preserve">Service-oriented with dependency injection</w:t>
      </w:r>
    </w:p>
    <w:p>
      <w:pPr>
        <w:pStyle w:val="ListParagraph"/>
        <w:numPr>
          <w:ilvl w:val="0"/>
          <w:numId w:val="2"/>
        </w:numPr>
      </w:pPr>
      <w:r>
        <w:rPr>
          <w:b/>
          <w:bCs/>
        </w:rPr>
        <w:t xml:space="preserve">Entry Point: </w:t>
      </w:r>
      <w:r>
        <w:t xml:space="preserve">Single orchestrator (main.py) managing all services</w:t>
      </w:r>
    </w:p>
    <w:p>
      <w:pPr>
        <w:pStyle w:val="Heading2"/>
      </w:pPr>
      <w:r>
        <w:t xml:space="preserve">Service Architecture (15 Services)</w:t>
      </w:r>
    </w:p>
    <w:p>
      <w:pPr>
        <w:pStyle w:val="Heading3"/>
      </w:pPr>
      <w:r>
        <w:t xml:space="preserve">Infrastructure Services (5)</w:t>
      </w:r>
    </w:p>
    <w:p>
      <w:pPr>
        <w:pStyle w:val="ListParagraph"/>
        <w:numPr>
          <w:ilvl w:val="0"/>
          <w:numId w:val="2"/>
        </w:numPr>
      </w:pPr>
      <w:r>
        <w:rPr>
          <w:b/>
          <w:bCs/>
        </w:rPr>
        <w:t xml:space="preserve">Database Manager: </w:t>
      </w:r>
      <w:r>
        <w:t xml:space="preserve">PostgreSQL connection pool with multi-schema support</w:t>
      </w:r>
    </w:p>
    <w:p>
      <w:pPr>
        <w:pStyle w:val="ListParagraph"/>
        <w:numPr>
          <w:ilvl w:val="0"/>
          <w:numId w:val="2"/>
        </w:numPr>
      </w:pPr>
      <w:r>
        <w:rPr>
          <w:b/>
          <w:bCs/>
        </w:rPr>
        <w:t xml:space="preserve">Configuration Service: </w:t>
      </w:r>
      <w:r>
        <w:t xml:space="preserve">Database-backed configuration management</w:t>
      </w:r>
    </w:p>
    <w:p>
      <w:pPr>
        <w:pStyle w:val="ListParagraph"/>
        <w:numPr>
          <w:ilvl w:val="0"/>
          <w:numId w:val="2"/>
        </w:numPr>
      </w:pPr>
      <w:r>
        <w:rPr>
          <w:b/>
          <w:bCs/>
        </w:rPr>
        <w:t xml:space="preserve">Stellar Client: </w:t>
      </w:r>
      <w:r>
        <w:t xml:space="preserve">Blockchain API client with rate limiting</w:t>
      </w:r>
    </w:p>
    <w:p>
      <w:pPr>
        <w:pStyle w:val="ListParagraph"/>
        <w:numPr>
          <w:ilvl w:val="0"/>
          <w:numId w:val="2"/>
        </w:numPr>
      </w:pPr>
      <w:r>
        <w:rPr>
          <w:b/>
          <w:bCs/>
        </w:rPr>
        <w:t xml:space="preserve">Service Registry: </w:t>
      </w:r>
      <w:r>
        <w:t xml:space="preserve">Central dependency management and health monitoring</w:t>
      </w:r>
    </w:p>
    <w:p>
      <w:pPr>
        <w:pStyle w:val="ListParagraph"/>
        <w:numPr>
          <w:ilvl w:val="0"/>
          <w:numId w:val="2"/>
        </w:numPr>
      </w:pPr>
      <w:r>
        <w:rPr>
          <w:b/>
          <w:bCs/>
        </w:rPr>
        <w:t xml:space="preserve">Audit Service: </w:t>
      </w:r>
      <w:r>
        <w:t xml:space="preserve">Comprehensive change tracking and logging</w:t>
      </w:r>
    </w:p>
    <w:p>
      <w:pPr>
        <w:pStyle w:val="Heading3"/>
      </w:pPr>
      <w:r>
        <w:t xml:space="preserve">Protocol Services (4)</w:t>
      </w:r>
    </w:p>
    <w:p>
      <w:pPr>
        <w:pStyle w:val="ListParagraph"/>
        <w:numPr>
          <w:ilvl w:val="0"/>
          <w:numId w:val="2"/>
        </w:numPr>
      </w:pPr>
      <w:r>
        <w:rPr>
          <w:b/>
          <w:bCs/>
        </w:rPr>
        <w:t xml:space="preserve">Air Protocol: </w:t>
      </w:r>
      <w:r>
        <w:t xml:space="preserve">Gateway and universal access (diversity principle)</w:t>
      </w:r>
    </w:p>
    <w:p>
      <w:pPr>
        <w:pStyle w:val="ListParagraph"/>
        <w:numPr>
          <w:ilvl w:val="0"/>
          <w:numId w:val="2"/>
        </w:numPr>
      </w:pPr>
      <w:r>
        <w:rPr>
          <w:b/>
          <w:bCs/>
        </w:rPr>
        <w:t xml:space="preserve">Water Protocol: </w:t>
      </w:r>
      <w:r>
        <w:t xml:space="preserve">Flow and reciprocity monitoring</w:t>
      </w:r>
    </w:p>
    <w:p>
      <w:pPr>
        <w:pStyle w:val="ListParagraph"/>
        <w:numPr>
          <w:ilvl w:val="0"/>
          <w:numId w:val="2"/>
        </w:numPr>
      </w:pPr>
      <w:r>
        <w:rPr>
          <w:b/>
          <w:bCs/>
        </w:rPr>
        <w:t xml:space="preserve">Earth Protocol: </w:t>
      </w:r>
      <w:r>
        <w:t xml:space="preserve">Distribution and stability tracking</w:t>
      </w:r>
    </w:p>
    <w:p>
      <w:pPr>
        <w:pStyle w:val="ListParagraph"/>
        <w:numPr>
          <w:ilvl w:val="0"/>
          <w:numId w:val="2"/>
        </w:numPr>
      </w:pPr>
      <w:r>
        <w:rPr>
          <w:b/>
          <w:bCs/>
        </w:rPr>
        <w:t xml:space="preserve">Fire Protocol: </w:t>
      </w:r>
      <w:r>
        <w:t xml:space="preserve">Transformation and regeneration assessment</w:t>
      </w:r>
    </w:p>
    <w:p>
      <w:pPr>
        <w:pStyle w:val="Heading3"/>
      </w:pPr>
      <w:r>
        <w:t xml:space="preserve">Operational Services (6)</w:t>
      </w:r>
    </w:p>
    <w:p>
      <w:pPr>
        <w:pStyle w:val="ListParagraph"/>
        <w:numPr>
          <w:ilvl w:val="0"/>
          <w:numId w:val="2"/>
        </w:numPr>
      </w:pPr>
      <w:r>
        <w:rPr>
          <w:b/>
          <w:bCs/>
        </w:rPr>
        <w:t xml:space="preserve">Data Synchronizer: </w:t>
      </w:r>
      <w:r>
        <w:t xml:space="preserve">Blockchain to database synchronization</w:t>
      </w:r>
    </w:p>
    <w:p>
      <w:pPr>
        <w:pStyle w:val="ListParagraph"/>
        <w:numPr>
          <w:ilvl w:val="0"/>
          <w:numId w:val="2"/>
        </w:numPr>
      </w:pPr>
      <w:r>
        <w:rPr>
          <w:b/>
          <w:bCs/>
        </w:rPr>
        <w:t xml:space="preserve">Analytics Service: </w:t>
      </w:r>
      <w:r>
        <w:t xml:space="preserve">Token and network analytics</w:t>
      </w:r>
    </w:p>
    <w:p>
      <w:pPr>
        <w:pStyle w:val="ListParagraph"/>
        <w:numPr>
          <w:ilvl w:val="0"/>
          <w:numId w:val="2"/>
        </w:numPr>
      </w:pPr>
      <w:r>
        <w:rPr>
          <w:b/>
          <w:bCs/>
        </w:rPr>
        <w:t xml:space="preserve">Distribution Manager: </w:t>
      </w:r>
      <w:r>
        <w:t xml:space="preserve">Balance and allocation management</w:t>
      </w:r>
    </w:p>
    <w:p>
      <w:pPr>
        <w:pStyle w:val="ListParagraph"/>
        <w:numPr>
          <w:ilvl w:val="0"/>
          <w:numId w:val="2"/>
        </w:numPr>
      </w:pPr>
      <w:r>
        <w:rPr>
          <w:b/>
          <w:bCs/>
        </w:rPr>
        <w:t xml:space="preserve">Distribution Evaluator: </w:t>
      </w:r>
      <w:r>
        <w:t xml:space="preserve">Tokenomics compliance checking (65/30/5 model)</w:t>
      </w:r>
    </w:p>
    <w:p>
      <w:pPr>
        <w:pStyle w:val="ListParagraph"/>
        <w:numPr>
          <w:ilvl w:val="0"/>
          <w:numId w:val="2"/>
        </w:numPr>
      </w:pPr>
      <w:r>
        <w:rPr>
          <w:b/>
          <w:bCs/>
        </w:rPr>
        <w:t xml:space="preserve">Holonic Evaluator: </w:t>
      </w:r>
      <w:r>
        <w:t xml:space="preserve">Ubuntu principle assessment system</w:t>
      </w:r>
    </w:p>
    <w:p>
      <w:pPr>
        <w:pStyle w:val="ListParagraph"/>
        <w:numPr>
          <w:ilvl w:val="0"/>
          <w:numId w:val="2"/>
        </w:numPr>
      </w:pPr>
      <w:r>
        <w:rPr>
          <w:b/>
          <w:bCs/>
        </w:rPr>
        <w:t xml:space="preserve">Visualizer: </w:t>
      </w:r>
      <w:r>
        <w:t xml:space="preserve">Charts, reports, and dashboard generation</w:t>
      </w:r>
    </w:p>
    <w:p>
      <w:r>
        <w:br w:type="page"/>
      </w:r>
    </w:p>
    <w:p>
      <w:pPr>
        <w:pStyle w:val="Heading1"/>
      </w:pPr>
      <w:r>
        <w:t xml:space="preserve">Database Infrastructure</w:t>
      </w:r>
    </w:p>
    <w:p>
      <w:pPr>
        <w:spacing w:after="200"/>
      </w:pPr>
      <w:r>
        <w:t xml:space="preserve">The system utilizes a sophisticated four-schema architecture designed for scalability, clarity, and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3160"/>
      </w:tblGrid>
      <w:tr>
        <w:trPr>
          <w:tblHeader/>
        </w:trPr>
        <w:tc>
          <w:tcPr>
            <w:tcW w:type="dxa" w:w="200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Schema</w:t>
            </w:r>
          </w:p>
        </w:tc>
        <w:tc>
          <w:tcPr>
            <w:tcW w:type="dxa" w:w="140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Tables</w:t>
            </w:r>
          </w:p>
        </w:tc>
        <w:tc>
          <w:tcPr>
            <w:tcW w:type="dxa" w:w="140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Records</w:t>
            </w:r>
          </w:p>
        </w:tc>
        <w:tc>
          <w:tcPr>
            <w:tcW w:type="dxa" w:w="140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Size</w:t>
            </w:r>
          </w:p>
        </w:tc>
        <w:tc>
          <w:tcPr>
            <w:tcW w:type="dxa" w:w="3160"/>
            <w:tcBorders>
              <w:top w:val="single" w:color="CCCCCC" w:sz="1"/>
              <w:left w:val="single" w:color="CCCCCC" w:sz="1"/>
              <w:bottom w:val="single" w:color="CCCCCC" w:sz="1"/>
              <w:right w:val="single" w:color="CCCCCC" w:sz="1"/>
            </w:tcBorders>
            <w:shd w:fill="1a4480" w:val="clear"/>
          </w:tcPr>
          <w:p>
            <w:pPr>
              <w:jc w:val="center"/>
            </w:pPr>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ubec_main</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50</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29,174</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145 MB</w:t>
            </w:r>
          </w:p>
        </w:tc>
        <w:tc>
          <w:tcPr>
            <w:tcW w:type="dxa" w:w="3160"/>
            <w:tcBorders>
              <w:top w:val="single" w:color="CCCCCC" w:sz="1"/>
              <w:left w:val="single" w:color="CCCCCC" w:sz="1"/>
              <w:bottom w:val="single" w:color="CCCCCC" w:sz="1"/>
              <w:right w:val="single" w:color="CCCCCC" w:sz="1"/>
            </w:tcBorders>
          </w:tcPr>
          <w:p>
            <w:r>
              <w:rPr>
                <w:sz w:val="20"/>
                <w:szCs w:val="20"/>
              </w:rPr>
              <w:t xml:space="preserve">Core UBEC protocol operations</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phenomenal</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29</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22,638</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1009 MB</w:t>
            </w:r>
          </w:p>
        </w:tc>
        <w:tc>
          <w:tcPr>
            <w:tcW w:type="dxa" w:w="3160"/>
            <w:tcBorders>
              <w:top w:val="single" w:color="CCCCCC" w:sz="1"/>
              <w:left w:val="single" w:color="CCCCCC" w:sz="1"/>
              <w:bottom w:val="single" w:color="CCCCCC" w:sz="1"/>
              <w:right w:val="single" w:color="CCCCCC" w:sz="1"/>
            </w:tcBorders>
          </w:tcPr>
          <w:p>
            <w:r>
              <w:rPr>
                <w:sz w:val="20"/>
                <w:szCs w:val="20"/>
              </w:rPr>
              <w:t xml:space="preserve">Advanced analytics &amp; quantum gravity</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topology</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48 kB</w:t>
            </w:r>
          </w:p>
        </w:tc>
        <w:tc>
          <w:tcPr>
            <w:tcW w:type="dxa" w:w="3160"/>
            <w:tcBorders>
              <w:top w:val="single" w:color="CCCCCC" w:sz="1"/>
              <w:left w:val="single" w:color="CCCCCC" w:sz="1"/>
              <w:bottom w:val="single" w:color="CCCCCC" w:sz="1"/>
              <w:right w:val="single" w:color="CCCCCC" w:sz="1"/>
            </w:tcBorders>
          </w:tcPr>
          <w:p>
            <w:r>
              <w:rPr>
                <w:sz w:val="20"/>
                <w:szCs w:val="20"/>
              </w:rPr>
              <w:t xml:space="preserve">PostGIS spatial topology</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public</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1</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8,500</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7.1 MB</w:t>
            </w:r>
          </w:p>
        </w:tc>
        <w:tc>
          <w:tcPr>
            <w:tcW w:type="dxa" w:w="3160"/>
            <w:tcBorders>
              <w:top w:val="single" w:color="CCCCCC" w:sz="1"/>
              <w:left w:val="single" w:color="CCCCCC" w:sz="1"/>
              <w:bottom w:val="single" w:color="CCCCCC" w:sz="1"/>
              <w:right w:val="single" w:color="CCCCCC" w:sz="1"/>
            </w:tcBorders>
          </w:tcPr>
          <w:p>
            <w:r>
              <w:rPr>
                <w:sz w:val="20"/>
                <w:szCs w:val="20"/>
              </w:rPr>
              <w:t xml:space="preserve">PostgreSQL system functions</w:t>
            </w:r>
          </w:p>
        </w:tc>
      </w:tr>
      <w:tr>
        <w:tc>
          <w:tcPr>
            <w:tcW w:type="dxa" w:w="2000"/>
            <w:tcBorders>
              <w:top w:val="single" w:color="CCCCCC" w:sz="1"/>
              <w:left w:val="single" w:color="CCCCCC" w:sz="1"/>
              <w:bottom w:val="single" w:color="CCCCCC" w:sz="1"/>
              <w:right w:val="single" w:color="CCCCCC" w:sz="1"/>
            </w:tcBorders>
            <w:shd w:fill="f0f0f0" w:val="clear"/>
          </w:tcPr>
          <w:p>
            <w:r>
              <w:rPr>
                <w:b/>
                <w:bCs/>
                <w:sz w:val="20"/>
                <w:szCs w:val="20"/>
              </w:rPr>
              <w:t xml:space="preserve">TOTAL</w:t>
            </w:r>
          </w:p>
        </w:tc>
        <w:tc>
          <w:tcPr>
            <w:tcW w:type="dxa" w:w="1400"/>
            <w:tcBorders>
              <w:top w:val="single" w:color="CCCCCC" w:sz="1"/>
              <w:left w:val="single" w:color="CCCCCC" w:sz="1"/>
              <w:bottom w:val="single" w:color="CCCCCC" w:sz="1"/>
              <w:right w:val="single" w:color="CCCCCC" w:sz="1"/>
            </w:tcBorders>
            <w:shd w:fill="f0f0f0" w:val="clear"/>
          </w:tcPr>
          <w:p>
            <w:pPr>
              <w:jc w:val="center"/>
            </w:pPr>
            <w:r>
              <w:rPr>
                <w:b/>
                <w:bCs/>
                <w:sz w:val="20"/>
                <w:szCs w:val="20"/>
              </w:rPr>
              <w:t xml:space="preserve">82</w:t>
            </w:r>
          </w:p>
        </w:tc>
        <w:tc>
          <w:tcPr>
            <w:tcW w:type="dxa" w:w="1400"/>
            <w:tcBorders>
              <w:top w:val="single" w:color="CCCCCC" w:sz="1"/>
              <w:left w:val="single" w:color="CCCCCC" w:sz="1"/>
              <w:bottom w:val="single" w:color="CCCCCC" w:sz="1"/>
              <w:right w:val="single" w:color="CCCCCC" w:sz="1"/>
            </w:tcBorders>
            <w:shd w:fill="f0f0f0" w:val="clear"/>
          </w:tcPr>
          <w:p>
            <w:pPr>
              <w:jc w:val="center"/>
            </w:pPr>
            <w:r>
              <w:rPr>
                <w:b/>
                <w:bCs/>
                <w:sz w:val="20"/>
                <w:szCs w:val="20"/>
              </w:rPr>
              <w:t xml:space="preserve">60,312</w:t>
            </w:r>
          </w:p>
        </w:tc>
        <w:tc>
          <w:tcPr>
            <w:tcW w:type="dxa" w:w="1400"/>
            <w:tcBorders>
              <w:top w:val="single" w:color="CCCCCC" w:sz="1"/>
              <w:left w:val="single" w:color="CCCCCC" w:sz="1"/>
              <w:bottom w:val="single" w:color="CCCCCC" w:sz="1"/>
              <w:right w:val="single" w:color="CCCCCC" w:sz="1"/>
            </w:tcBorders>
            <w:shd w:fill="f0f0f0" w:val="clear"/>
          </w:tcPr>
          <w:p>
            <w:pPr>
              <w:jc w:val="center"/>
            </w:pPr>
            <w:r>
              <w:rPr>
                <w:b/>
                <w:bCs/>
                <w:sz w:val="20"/>
                <w:szCs w:val="20"/>
              </w:rPr>
              <w:t xml:space="preserve">1.16 GB</w:t>
            </w:r>
          </w:p>
        </w:tc>
        <w:tc>
          <w:tcPr>
            <w:tcW w:type="dxa" w:w="3160"/>
            <w:tcBorders>
              <w:top w:val="single" w:color="CCCCCC" w:sz="1"/>
              <w:left w:val="single" w:color="CCCCCC" w:sz="1"/>
              <w:bottom w:val="single" w:color="CCCCCC" w:sz="1"/>
              <w:right w:val="single" w:color="CCCCCC" w:sz="1"/>
            </w:tcBorders>
            <w:shd w:fill="f0f0f0" w:val="clear"/>
          </w:tcPr>
          <w:p>
            <w:r>
              <w:rPr>
                <w:b/>
                <w:bCs/>
                <w:sz w:val="20"/>
                <w:szCs w:val="20"/>
              </w:rPr>
              <w:t xml:space="preserve">Complete system</w:t>
            </w:r>
          </w:p>
        </w:tc>
      </w:tr>
    </w:tbl>
    <w:p>
      <w:pPr>
        <w:pStyle w:val="Heading1"/>
      </w:pPr>
      <w:r>
        <w:t xml:space="preserve">12 Design Principles (100% Compliance)</w:t>
      </w:r>
    </w:p>
    <w:p>
      <w:pPr>
        <w:spacing w:after="200"/>
      </w:pPr>
      <w:r>
        <w:t xml:space="preserve">The project rigorously adheres to 12 core design principles with verified 100% compliance, resulting in a remarkably clean, maintainable, and production-ready codebase.</w:t>
      </w:r>
    </w:p>
    <w:p>
      <w:pPr>
        <w:pStyle w:val="ListParagraph"/>
        <w:numPr>
          <w:ilvl w:val="0"/>
          <w:numId w:val="3"/>
        </w:numPr>
      </w:pPr>
      <w:r>
        <w:rPr>
          <w:b/>
          <w:bCs/>
        </w:rPr>
        <w:t xml:space="preserve">Modular Design: </w:t>
      </w:r>
      <w:r>
        <w:t xml:space="preserve">Self-contained holonic components with clear boundaries</w:t>
      </w:r>
    </w:p>
    <w:p>
      <w:pPr>
        <w:pStyle w:val="ListParagraph"/>
        <w:numPr>
          <w:ilvl w:val="0"/>
          <w:numId w:val="3"/>
        </w:numPr>
      </w:pPr>
      <w:r>
        <w:rPr>
          <w:b/>
          <w:bCs/>
        </w:rPr>
        <w:t xml:space="preserve">Service Pattern: </w:t>
      </w:r>
      <w:r>
        <w:t xml:space="preserve">Only main.py executes; all modules are services</w:t>
      </w:r>
    </w:p>
    <w:p>
      <w:pPr>
        <w:pStyle w:val="ListParagraph"/>
        <w:numPr>
          <w:ilvl w:val="0"/>
          <w:numId w:val="3"/>
        </w:numPr>
      </w:pPr>
      <w:r>
        <w:rPr>
          <w:b/>
          <w:bCs/>
        </w:rPr>
        <w:t xml:space="preserve">Service Registry: </w:t>
      </w:r>
      <w:r>
        <w:t xml:space="preserve">Centralized dependency injection with topological sorting</w:t>
      </w:r>
    </w:p>
    <w:p>
      <w:pPr>
        <w:pStyle w:val="ListParagraph"/>
        <w:numPr>
          <w:ilvl w:val="0"/>
          <w:numId w:val="3"/>
        </w:numPr>
      </w:pPr>
      <w:r>
        <w:rPr>
          <w:b/>
          <w:bCs/>
        </w:rPr>
        <w:t xml:space="preserve">Single Source of Truth: </w:t>
      </w:r>
      <w:r>
        <w:t xml:space="preserve">Database-backed configuration, no duplication</w:t>
      </w:r>
    </w:p>
    <w:p>
      <w:pPr>
        <w:pStyle w:val="ListParagraph"/>
        <w:numPr>
          <w:ilvl w:val="0"/>
          <w:numId w:val="3"/>
        </w:numPr>
      </w:pPr>
      <w:r>
        <w:rPr>
          <w:b/>
          <w:bCs/>
        </w:rPr>
        <w:t xml:space="preserve">Strict Async Operations: </w:t>
      </w:r>
      <w:r>
        <w:t xml:space="preserve">100% async/await, zero blocking operations</w:t>
      </w:r>
    </w:p>
    <w:p>
      <w:pPr>
        <w:pStyle w:val="ListParagraph"/>
        <w:numPr>
          <w:ilvl w:val="0"/>
          <w:numId w:val="3"/>
        </w:numPr>
      </w:pPr>
      <w:r>
        <w:rPr>
          <w:b/>
          <w:bCs/>
        </w:rPr>
        <w:t xml:space="preserve">No Sync Fallbacks: </w:t>
      </w:r>
      <w:r>
        <w:t xml:space="preserve">Forward-looking codebase only</w:t>
      </w:r>
    </w:p>
    <w:p>
      <w:pPr>
        <w:pStyle w:val="ListParagraph"/>
        <w:numPr>
          <w:ilvl w:val="0"/>
          <w:numId w:val="3"/>
        </w:numPr>
      </w:pPr>
      <w:r>
        <w:rPr>
          <w:b/>
          <w:bCs/>
        </w:rPr>
        <w:t xml:space="preserve">Per-Asset Monitoring: </w:t>
      </w:r>
      <w:r>
        <w:t xml:space="preserve">Individual tracking with execution minimums</w:t>
      </w:r>
    </w:p>
    <w:p>
      <w:pPr>
        <w:pStyle w:val="ListParagraph"/>
        <w:numPr>
          <w:ilvl w:val="0"/>
          <w:numId w:val="3"/>
        </w:numPr>
      </w:pPr>
      <w:r>
        <w:rPr>
          <w:b/>
          <w:bCs/>
        </w:rPr>
        <w:t xml:space="preserve">No Duplicate Configuration: </w:t>
      </w:r>
      <w:r>
        <w:t xml:space="preserve">Each parameter defined exactly once</w:t>
      </w:r>
    </w:p>
    <w:p>
      <w:pPr>
        <w:pStyle w:val="ListParagraph"/>
        <w:numPr>
          <w:ilvl w:val="0"/>
          <w:numId w:val="3"/>
        </w:numPr>
      </w:pPr>
      <w:r>
        <w:rPr>
          <w:b/>
          <w:bCs/>
        </w:rPr>
        <w:t xml:space="preserve">Integrated Rate Limiting: </w:t>
      </w:r>
      <w:r>
        <w:t xml:space="preserve">Built-in protection for all external APIs</w:t>
      </w:r>
    </w:p>
    <w:p>
      <w:pPr>
        <w:pStyle w:val="ListParagraph"/>
        <w:numPr>
          <w:ilvl w:val="0"/>
          <w:numId w:val="3"/>
        </w:numPr>
      </w:pPr>
      <w:r>
        <w:rPr>
          <w:b/>
          <w:bCs/>
        </w:rPr>
        <w:t xml:space="preserve">Clear Separation of Concerns: </w:t>
      </w:r>
      <w:r>
        <w:t xml:space="preserve">Layered architecture throughout</w:t>
      </w:r>
    </w:p>
    <w:p>
      <w:pPr>
        <w:pStyle w:val="ListParagraph"/>
        <w:numPr>
          <w:ilvl w:val="0"/>
          <w:numId w:val="3"/>
        </w:numPr>
      </w:pPr>
      <w:r>
        <w:rPr>
          <w:b/>
          <w:bCs/>
        </w:rPr>
        <w:t xml:space="preserve">Comprehensive Documentation: </w:t>
      </w:r>
      <w:r>
        <w:t xml:space="preserve">Complete docstrings in all modules</w:t>
      </w:r>
    </w:p>
    <w:p>
      <w:pPr>
        <w:pStyle w:val="ListParagraph"/>
        <w:numPr>
          <w:ilvl w:val="0"/>
          <w:numId w:val="3"/>
        </w:numPr>
      </w:pPr>
      <w:r>
        <w:rPr>
          <w:b/>
          <w:bCs/>
        </w:rPr>
        <w:t xml:space="preserve">Method Singularity: </w:t>
      </w:r>
      <w:r>
        <w:t xml:space="preserve">Each method implemented once (zero code duplication)</w:t>
      </w:r>
    </w:p>
    <w:p>
      <w:r>
        <w:br w:type="page"/>
      </w:r>
    </w:p>
    <w:p>
      <w:pPr>
        <w:pStyle w:val="Heading1"/>
      </w:pPr>
      <w:r>
        <w:t xml:space="preserve">Remaining Work (10-15%)</w:t>
      </w:r>
    </w:p>
    <w:p>
      <w:pPr>
        <w:spacing w:after="200"/>
      </w:pPr>
      <w:r>
        <w:t xml:space="preserve">The remaining work is well-defined with no critical blockers. All tasks follow well-understood procedures with clear success criteria.</w:t>
      </w:r>
    </w:p>
    <w:p>
      <w:pPr>
        <w:pStyle w:val="Heading2"/>
      </w:pPr>
      <w:r>
        <w:t xml:space="preserve">Priority 1: Data Population (5%)</w:t>
      </w:r>
    </w:p>
    <w:p>
      <w:r>
        <w:rPr>
          <w:b/>
          <w:bCs/>
        </w:rPr>
        <w:t xml:space="preserve">Timeline: </w:t>
      </w:r>
      <w:r>
        <w:t xml:space="preserve">1-2 weeks | </w:t>
      </w:r>
      <w:r>
        <w:rPr>
          <w:b/>
          <w:bCs/>
        </w:rPr>
        <w:t xml:space="preserve">Risk: </w:t>
      </w:r>
      <w:r>
        <w:t xml:space="preserve">Low</w:t>
      </w:r>
    </w:p>
    <w:p>
      <w:pPr>
        <w:pStyle w:val="ListParagraph"/>
        <w:numPr>
          <w:ilvl w:val="0"/>
          <w:numId w:val="2"/>
        </w:numPr>
      </w:pPr>
      <w:r>
        <w:t xml:space="preserve">Complete Stellar network account discovery (target: 5,000+ accounts)</w:t>
      </w:r>
    </w:p>
    <w:p>
      <w:pPr>
        <w:pStyle w:val="ListParagraph"/>
        <w:numPr>
          <w:ilvl w:val="0"/>
          <w:numId w:val="2"/>
        </w:numPr>
      </w:pPr>
      <w:r>
        <w:t xml:space="preserve">Import full transaction history (90+ days)</w:t>
      </w:r>
    </w:p>
    <w:p>
      <w:pPr>
        <w:pStyle w:val="ListParagraph"/>
        <w:numPr>
          <w:ilvl w:val="0"/>
          <w:numId w:val="2"/>
        </w:numPr>
      </w:pPr>
      <w:r>
        <w:t xml:space="preserve">Calculate all token balances across network</w:t>
      </w:r>
    </w:p>
    <w:p>
      <w:pPr>
        <w:pStyle w:val="ListParagraph"/>
        <w:numPr>
          <w:ilvl w:val="0"/>
          <w:numId w:val="2"/>
        </w:numPr>
      </w:pPr>
      <w:r>
        <w:t xml:space="preserve">Generate comprehensive holonic evaluations</w:t>
      </w:r>
    </w:p>
    <w:p>
      <w:pPr>
        <w:pStyle w:val="Heading2"/>
      </w:pPr>
      <w:r>
        <w:t xml:space="preserve">Priority 2: Testing Expansion (3%)</w:t>
      </w:r>
    </w:p>
    <w:p>
      <w:r>
        <w:rPr>
          <w:b/>
          <w:bCs/>
        </w:rPr>
        <w:t xml:space="preserve">Timeline: </w:t>
      </w:r>
      <w:r>
        <w:t xml:space="preserve">2-3 weeks | </w:t>
      </w:r>
      <w:r>
        <w:rPr>
          <w:b/>
          <w:bCs/>
        </w:rPr>
        <w:t xml:space="preserve">Risk: </w:t>
      </w:r>
      <w:r>
        <w:t xml:space="preserve">Low</w:t>
      </w:r>
    </w:p>
    <w:p>
      <w:pPr>
        <w:pStyle w:val="ListParagraph"/>
        <w:numPr>
          <w:ilvl w:val="0"/>
          <w:numId w:val="2"/>
        </w:numPr>
      </w:pPr>
      <w:r>
        <w:t xml:space="preserve">Expand unit test coverage from 60% to 80%+</w:t>
      </w:r>
    </w:p>
    <w:p>
      <w:pPr>
        <w:pStyle w:val="ListParagraph"/>
        <w:numPr>
          <w:ilvl w:val="0"/>
          <w:numId w:val="2"/>
        </w:numPr>
      </w:pPr>
      <w:r>
        <w:t xml:space="preserve">Complete integration test suite</w:t>
      </w:r>
    </w:p>
    <w:p>
      <w:pPr>
        <w:pStyle w:val="ListParagraph"/>
        <w:numPr>
          <w:ilvl w:val="0"/>
          <w:numId w:val="2"/>
        </w:numPr>
      </w:pPr>
      <w:r>
        <w:t xml:space="preserve">Conduct load testing (1,000+ concurrent operations)</w:t>
      </w:r>
    </w:p>
    <w:p>
      <w:pPr>
        <w:pStyle w:val="ListParagraph"/>
        <w:numPr>
          <w:ilvl w:val="0"/>
          <w:numId w:val="2"/>
        </w:numPr>
      </w:pPr>
      <w:r>
        <w:t xml:space="preserve">Execute performance benchmarking</w:t>
      </w:r>
    </w:p>
    <w:p>
      <w:pPr>
        <w:pStyle w:val="Heading2"/>
      </w:pPr>
      <w:r>
        <w:t xml:space="preserve">Priority 3: Documentation Completion (2%)</w:t>
      </w:r>
    </w:p>
    <w:p>
      <w:r>
        <w:rPr>
          <w:b/>
          <w:bCs/>
        </w:rPr>
        <w:t xml:space="preserve">Timeline: </w:t>
      </w:r>
      <w:r>
        <w:t xml:space="preserve">1-2 weeks | </w:t>
      </w:r>
      <w:r>
        <w:rPr>
          <w:b/>
          <w:bCs/>
        </w:rPr>
        <w:t xml:space="preserve">Risk: </w:t>
      </w:r>
      <w:r>
        <w:t xml:space="preserve">Low</w:t>
      </w:r>
    </w:p>
    <w:p>
      <w:pPr>
        <w:pStyle w:val="ListParagraph"/>
        <w:numPr>
          <w:ilvl w:val="0"/>
          <w:numId w:val="2"/>
        </w:numPr>
      </w:pPr>
      <w:r>
        <w:t xml:space="preserve">Complete user guides for all stakeholder groups</w:t>
      </w:r>
    </w:p>
    <w:p>
      <w:pPr>
        <w:pStyle w:val="ListParagraph"/>
        <w:numPr>
          <w:ilvl w:val="0"/>
          <w:numId w:val="2"/>
        </w:numPr>
      </w:pPr>
      <w:r>
        <w:t xml:space="preserve">Create deployment procedures and runbooks</w:t>
      </w:r>
    </w:p>
    <w:p>
      <w:pPr>
        <w:pStyle w:val="ListParagraph"/>
        <w:numPr>
          <w:ilvl w:val="0"/>
          <w:numId w:val="2"/>
        </w:numPr>
      </w:pPr>
      <w:r>
        <w:t xml:space="preserve">Document troubleshooting procedures</w:t>
      </w:r>
    </w:p>
    <w:p>
      <w:pPr>
        <w:pStyle w:val="ListParagraph"/>
        <w:numPr>
          <w:ilvl w:val="0"/>
          <w:numId w:val="2"/>
        </w:numPr>
      </w:pPr>
      <w:r>
        <w:t xml:space="preserve">Prepare community onboarding materials</w:t>
      </w:r>
    </w:p>
    <w:p>
      <w:pPr>
        <w:pStyle w:val="Heading2"/>
      </w:pPr>
      <w:r>
        <w:t xml:space="preserve">Priority 4: Production Hardening (3-5%)</w:t>
      </w:r>
    </w:p>
    <w:p>
      <w:r>
        <w:rPr>
          <w:b/>
          <w:bCs/>
        </w:rPr>
        <w:t xml:space="preserve">Timeline: </w:t>
      </w:r>
      <w:r>
        <w:t xml:space="preserve">2-3 weeks | </w:t>
      </w:r>
      <w:r>
        <w:rPr>
          <w:b/>
          <w:bCs/>
        </w:rPr>
        <w:t xml:space="preserve">Risk: </w:t>
      </w:r>
      <w:r>
        <w:t xml:space="preserve">Medium</w:t>
      </w:r>
    </w:p>
    <w:p>
      <w:pPr>
        <w:pStyle w:val="ListParagraph"/>
        <w:numPr>
          <w:ilvl w:val="0"/>
          <w:numId w:val="2"/>
        </w:numPr>
      </w:pPr>
      <w:r>
        <w:t xml:space="preserve">Complete third-party security audit</w:t>
      </w:r>
    </w:p>
    <w:p>
      <w:pPr>
        <w:pStyle w:val="ListParagraph"/>
        <w:numPr>
          <w:ilvl w:val="0"/>
          <w:numId w:val="2"/>
        </w:numPr>
      </w:pPr>
      <w:r>
        <w:t xml:space="preserve">Implement monitoring dashboards</w:t>
      </w:r>
    </w:p>
    <w:p>
      <w:pPr>
        <w:pStyle w:val="ListParagraph"/>
        <w:numPr>
          <w:ilvl w:val="0"/>
          <w:numId w:val="2"/>
        </w:numPr>
      </w:pPr>
      <w:r>
        <w:t xml:space="preserve">Configure alerting systems</w:t>
      </w:r>
    </w:p>
    <w:p>
      <w:pPr>
        <w:pStyle w:val="ListParagraph"/>
        <w:numPr>
          <w:ilvl w:val="0"/>
          <w:numId w:val="2"/>
        </w:numPr>
      </w:pPr>
      <w:r>
        <w:t xml:space="preserve">Test backup and recovery procedures</w:t>
      </w:r>
    </w:p>
    <w:p>
      <w:pPr>
        <w:pStyle w:val="Heading1"/>
      </w:pPr>
      <w:r>
        <w:t xml:space="preserve">Risk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a4480" w:val="clear"/>
          </w:tcPr>
          <w:p>
            <w:pPr>
              <w:jc w:val="center"/>
            </w:pPr>
            <w:r>
              <w:rPr>
                <w:b/>
                <w:bCs/>
                <w:color w:val="FFFFFF"/>
                <w:sz w:val="22"/>
                <w:szCs w:val="22"/>
              </w:rPr>
              <w:t xml:space="preserve">Risk Category</w:t>
            </w:r>
          </w:p>
        </w:tc>
        <w:tc>
          <w:tcPr>
            <w:tcW w:type="dxa" w:w="1800"/>
            <w:tcBorders>
              <w:top w:val="single" w:color="CCCCCC" w:sz="1"/>
              <w:left w:val="single" w:color="CCCCCC" w:sz="1"/>
              <w:bottom w:val="single" w:color="CCCCCC" w:sz="1"/>
              <w:right w:val="single" w:color="CCCCCC" w:sz="1"/>
            </w:tcBorders>
            <w:shd w:fill="1a4480" w:val="clear"/>
          </w:tcPr>
          <w:p>
            <w:pPr>
              <w:jc w:val="center"/>
            </w:pPr>
            <w:r>
              <w:rPr>
                <w:b/>
                <w:bCs/>
                <w:color w:val="FFFFFF"/>
                <w:sz w:val="22"/>
                <w:szCs w:val="22"/>
              </w:rPr>
              <w:t xml:space="preserve">Level</w:t>
            </w:r>
          </w:p>
        </w:tc>
        <w:tc>
          <w:tcPr>
            <w:tcW w:type="dxa" w:w="5360"/>
            <w:tcBorders>
              <w:top w:val="single" w:color="CCCCCC" w:sz="1"/>
              <w:left w:val="single" w:color="CCCCCC" w:sz="1"/>
              <w:bottom w:val="single" w:color="CCCCCC" w:sz="1"/>
              <w:right w:val="single" w:color="CCCCCC" w:sz="1"/>
            </w:tcBorders>
            <w:shd w:fill="1a4480" w:val="clear"/>
          </w:tcPr>
          <w:p>
            <w:pPr>
              <w:jc w:val="center"/>
            </w:pPr>
            <w:r>
              <w:rPr>
                <w:b/>
                <w:bCs/>
                <w:color w:val="FFFFFF"/>
                <w:sz w:val="22"/>
                <w:szCs w:val="22"/>
              </w:rPr>
              <w:t xml:space="preserve">Assessment</w:t>
            </w:r>
          </w:p>
        </w:tc>
      </w:tr>
      <w:tr>
        <w:tc>
          <w:tcPr>
            <w:tcW w:type="dxa" w:w="2200"/>
            <w:tcBorders>
              <w:top w:val="single" w:color="CCCCCC" w:sz="1"/>
              <w:left w:val="single" w:color="CCCCCC" w:sz="1"/>
              <w:bottom w:val="single" w:color="CCCCCC" w:sz="1"/>
              <w:right w:val="single" w:color="CCCCCC" w:sz="1"/>
            </w:tcBorders>
          </w:tcPr>
          <w:p>
            <w:pPr>
              <w:jc w:val="left"/>
            </w:pPr>
            <w:r>
              <w:rPr>
                <w:b/>
                <w:bCs/>
                <w:sz w:val="22"/>
                <w:szCs w:val="22"/>
              </w:rPr>
              <w:t xml:space="preserve">Technical Risks</w:t>
            </w:r>
          </w:p>
        </w:tc>
        <w:tc>
          <w:tcPr>
            <w:tcW w:type="dxa" w:w="1800"/>
            <w:tcBorders>
              <w:top w:val="single" w:color="CCCCCC" w:sz="1"/>
              <w:left w:val="single" w:color="CCCCCC" w:sz="1"/>
              <w:bottom w:val="single" w:color="CCCCCC" w:sz="1"/>
              <w:right w:val="single" w:color="CCCCCC" w:sz="1"/>
            </w:tcBorders>
            <w:shd w:fill="d4edda" w:val="clear"/>
          </w:tcPr>
          <w:p>
            <w:pPr>
              <w:jc w:val="center"/>
            </w:pPr>
            <w:r>
              <w:rPr>
                <w:b/>
                <w:bCs/>
                <w:color w:val="155724"/>
                <w:sz w:val="22"/>
                <w:szCs w:val="22"/>
              </w:rPr>
              <w:t xml:space="preserve">LOW</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Solid architectural foundation proven in operation; all critical bugs resolved</w:t>
            </w:r>
          </w:p>
        </w:tc>
      </w:tr>
      <w:tr>
        <w:tc>
          <w:tcPr>
            <w:tcW w:type="dxa" w:w="2200"/>
            <w:tcBorders>
              <w:top w:val="single" w:color="CCCCCC" w:sz="1"/>
              <w:left w:val="single" w:color="CCCCCC" w:sz="1"/>
              <w:bottom w:val="single" w:color="CCCCCC" w:sz="1"/>
              <w:right w:val="single" w:color="CCCCCC" w:sz="1"/>
            </w:tcBorders>
          </w:tcPr>
          <w:p>
            <w:pPr>
              <w:jc w:val="left"/>
            </w:pPr>
            <w:r>
              <w:rPr>
                <w:b/>
                <w:bCs/>
                <w:sz w:val="22"/>
                <w:szCs w:val="22"/>
              </w:rPr>
              <w:t xml:space="preserve">Timeline Risks</w:t>
            </w:r>
          </w:p>
        </w:tc>
        <w:tc>
          <w:tcPr>
            <w:tcW w:type="dxa" w:w="1800"/>
            <w:tcBorders>
              <w:top w:val="single" w:color="CCCCCC" w:sz="1"/>
              <w:left w:val="single" w:color="CCCCCC" w:sz="1"/>
              <w:bottom w:val="single" w:color="CCCCCC" w:sz="1"/>
              <w:right w:val="single" w:color="CCCCCC" w:sz="1"/>
            </w:tcBorders>
            <w:shd w:fill="fff3cd" w:val="clear"/>
          </w:tcPr>
          <w:p>
            <w:pPr>
              <w:jc w:val="center"/>
            </w:pPr>
            <w:r>
              <w:rPr>
                <w:b/>
                <w:bCs/>
                <w:color w:val="856404"/>
                <w:sz w:val="22"/>
                <w:szCs w:val="22"/>
              </w:rPr>
              <w:t xml:space="preserve">MEDIUM</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Clear priorities established; buffer time built into estimates (20% contingency)</w:t>
            </w:r>
          </w:p>
        </w:tc>
      </w:tr>
      <w:tr>
        <w:tc>
          <w:tcPr>
            <w:tcW w:type="dxa" w:w="2200"/>
            <w:tcBorders>
              <w:top w:val="single" w:color="CCCCCC" w:sz="1"/>
              <w:left w:val="single" w:color="CCCCCC" w:sz="1"/>
              <w:bottom w:val="single" w:color="CCCCCC" w:sz="1"/>
              <w:right w:val="single" w:color="CCCCCC" w:sz="1"/>
            </w:tcBorders>
          </w:tcPr>
          <w:p>
            <w:pPr>
              <w:jc w:val="left"/>
            </w:pPr>
            <w:r>
              <w:rPr>
                <w:b/>
                <w:bCs/>
                <w:sz w:val="22"/>
                <w:szCs w:val="22"/>
              </w:rPr>
              <w:t xml:space="preserve">Operational Risks</w:t>
            </w:r>
          </w:p>
        </w:tc>
        <w:tc>
          <w:tcPr>
            <w:tcW w:type="dxa" w:w="1800"/>
            <w:tcBorders>
              <w:top w:val="single" w:color="CCCCCC" w:sz="1"/>
              <w:left w:val="single" w:color="CCCCCC" w:sz="1"/>
              <w:bottom w:val="single" w:color="CCCCCC" w:sz="1"/>
              <w:right w:val="single" w:color="CCCCCC" w:sz="1"/>
            </w:tcBorders>
            <w:shd w:fill="d4edda" w:val="clear"/>
          </w:tcPr>
          <w:p>
            <w:pPr>
              <w:jc w:val="center"/>
            </w:pPr>
            <w:r>
              <w:rPr>
                <w:b/>
                <w:bCs/>
                <w:color w:val="155724"/>
                <w:sz w:val="22"/>
                <w:szCs w:val="22"/>
              </w:rPr>
              <w:t xml:space="preserve">LOW</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Comprehensive audit system in place; rate limiting active; error recovery proven</w:t>
            </w:r>
          </w:p>
        </w:tc>
      </w:tr>
      <w:tr>
        <w:tc>
          <w:tcPr>
            <w:tcW w:type="dxa" w:w="2200"/>
            <w:tcBorders>
              <w:top w:val="single" w:color="CCCCCC" w:sz="1"/>
              <w:left w:val="single" w:color="CCCCCC" w:sz="1"/>
              <w:bottom w:val="single" w:color="CCCCCC" w:sz="1"/>
              <w:right w:val="single" w:color="CCCCCC" w:sz="1"/>
            </w:tcBorders>
          </w:tcPr>
          <w:p>
            <w:pPr>
              <w:jc w:val="left"/>
            </w:pPr>
            <w:r>
              <w:rPr>
                <w:b/>
                <w:bCs/>
                <w:sz w:val="22"/>
                <w:szCs w:val="22"/>
              </w:rPr>
              <w:t xml:space="preserve">Security Risks</w:t>
            </w:r>
          </w:p>
        </w:tc>
        <w:tc>
          <w:tcPr>
            <w:tcW w:type="dxa" w:w="1800"/>
            <w:tcBorders>
              <w:top w:val="single" w:color="CCCCCC" w:sz="1"/>
              <w:left w:val="single" w:color="CCCCCC" w:sz="1"/>
              <w:bottom w:val="single" w:color="CCCCCC" w:sz="1"/>
              <w:right w:val="single" w:color="CCCCCC" w:sz="1"/>
            </w:tcBorders>
            <w:shd w:fill="fff3cd" w:val="clear"/>
          </w:tcPr>
          <w:p>
            <w:pPr>
              <w:jc w:val="center"/>
            </w:pPr>
            <w:r>
              <w:rPr>
                <w:b/>
                <w:bCs/>
                <w:color w:val="856404"/>
                <w:sz w:val="22"/>
                <w:szCs w:val="22"/>
              </w:rPr>
              <w:t xml:space="preserve">MEDIUM</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Basic measures implemented; third-party audit scheduled for December</w:t>
            </w:r>
          </w:p>
        </w:tc>
      </w:tr>
    </w:tbl>
    <w:p>
      <w:r>
        <w:br w:type="page"/>
      </w:r>
    </w:p>
    <w:p>
      <w:pPr>
        <w:pStyle w:val="Heading1"/>
      </w:pPr>
      <w:r>
        <w:t xml:space="preserve">Production Launch Timeline</w:t>
      </w:r>
    </w:p>
    <w:p>
      <w:pPr>
        <w:spacing w:after="100"/>
      </w:pPr>
      <w:r>
        <w:rPr>
          <w:b/>
          <w:bCs/>
          <w:sz w:val="26"/>
          <w:szCs w:val="26"/>
        </w:rPr>
        <w:t xml:space="preserve">Target Date: December 15, 2025</w:t>
      </w:r>
    </w:p>
    <w:p>
      <w:pPr>
        <w:spacing w:after="200"/>
      </w:pPr>
      <w:r>
        <w:rPr>
          <w:b/>
          <w:bCs/>
          <w:color w:val="228B22"/>
          <w:sz w:val="26"/>
          <w:szCs w:val="26"/>
        </w:rPr>
        <w:t xml:space="preserve">Confidence Level: 85% (Very High)</w:t>
      </w:r>
    </w:p>
    <w:p>
      <w:pPr>
        <w:pStyle w:val="Heading2"/>
      </w:pPr>
      <w:r>
        <w:t xml:space="preserve">Weekly Execution Plan</w:t>
      </w:r>
    </w:p>
    <w:p>
      <w:pPr>
        <w:pStyle w:val="ListParagraph"/>
        <w:numPr>
          <w:ilvl w:val="0"/>
          <w:numId w:val="2"/>
        </w:numPr>
      </w:pPr>
      <w:r>
        <w:rPr>
          <w:b/>
          <w:bCs/>
        </w:rPr>
        <w:t xml:space="preserve">Week of Dec 1-7: </w:t>
      </w:r>
      <w:r>
        <w:t xml:space="preserve">Complete data synchronization, testing expansion, integration testing</w:t>
      </w:r>
    </w:p>
    <w:p>
      <w:pPr>
        <w:pStyle w:val="ListParagraph"/>
        <w:numPr>
          <w:ilvl w:val="0"/>
          <w:numId w:val="2"/>
        </w:numPr>
      </w:pPr>
      <w:r>
        <w:rPr>
          <w:b/>
          <w:bCs/>
        </w:rPr>
        <w:t xml:space="preserve">Week of Dec 8-14: </w:t>
      </w:r>
      <w:r>
        <w:t xml:space="preserve">Security audit, final bug fixes, production dry run</w:t>
      </w:r>
    </w:p>
    <w:p>
      <w:pPr>
        <w:pStyle w:val="ListParagraph"/>
        <w:numPr>
          <w:ilvl w:val="0"/>
          <w:numId w:val="2"/>
        </w:numPr>
      </w:pPr>
      <w:r>
        <w:rPr>
          <w:b/>
          <w:bCs/>
        </w:rPr>
        <w:t xml:space="preserve">December 15: </w:t>
      </w:r>
      <w:r>
        <w:t xml:space="preserve">PRODUCTION LAUNCH</w:t>
      </w:r>
    </w:p>
    <w:p>
      <w:pPr>
        <w:pStyle w:val="Heading1"/>
      </w:pPr>
      <w:r>
        <w:t xml:space="preserve">Conclusion</w:t>
      </w:r>
    </w:p>
    <w:p>
      <w:pPr>
        <w:spacing w:after="200"/>
      </w:pPr>
      <w:r>
        <w:rPr>
          <w:b/>
          <w:bCs/>
          <w:color w:val="228B22"/>
          <w:sz w:val="26"/>
          <w:szCs w:val="26"/>
        </w:rPr>
        <w:t xml:space="preserve">Overall Project Health: EXCELLENT</w:t>
      </w:r>
    </w:p>
    <w:p>
      <w:pPr>
        <w:spacing w:after="200"/>
      </w:pPr>
      <w:r>
        <w:t xml:space="preserve">The UBEC Protocol Suite represents a significant achievement in blockchain-based economic systems, combining philosophical depth with technical excellence. At 85-90% completion, the project has successfully implemented a sophisticated four-element architecture, deployed all four tokens to Stellar mainnet, built robust core modules, and achieved 100% compliance with all 12 design principles.</w:t>
      </w:r>
    </w:p>
    <w:p>
      <w:pPr>
        <w:spacing w:after="200"/>
      </w:pPr>
      <w:r>
        <w:t xml:space="preserve">This is not vaporware or academic theory—this is production-grade technology that </w:t>
      </w:r>
      <w:r>
        <w:rPr>
          <w:b/>
          <w:bCs/>
        </w:rPr>
        <w:t xml:space="preserve">actually works</w:t>
      </w:r>
      <w:r>
        <w:t xml:space="preserve">, with all four tokens </w:t>
      </w:r>
      <w:r>
        <w:rPr>
          <w:b/>
          <w:bCs/>
        </w:rPr>
        <w:t xml:space="preserve">successfully deployed to blockchain</w:t>
      </w:r>
      <w:r>
        <w:t xml:space="preserve"> and comprehensive infrastructure </w:t>
      </w:r>
      <w:r>
        <w:rPr>
          <w:b/>
          <w:bCs/>
        </w:rPr>
        <w:t xml:space="preserve">proven in operation</w:t>
      </w:r>
      <w:r>
        <w:t xml:space="preserve">.</w:t>
      </w:r>
    </w:p>
    <w:p>
      <w:pPr>
        <w:spacing w:after="200"/>
      </w:pPr>
      <w:r>
        <w:t xml:space="preserve">The remaining 10-15% of work represents standard production readiness activities, not fundamental development. No critical blockers exist. With focused execution over the next 2-3 weeks, the project will be ready for successful public launch on December 15, 2025.</w:t>
      </w:r>
    </w:p>
    <w:p>
      <w:pPr>
        <w:pStyle w:val="Heading2"/>
      </w:pPr>
      <w:r>
        <w:t xml:space="preserve">Attribution</w:t>
      </w:r>
    </w:p>
    <w:p>
      <w:pPr>
        <w:spacing w:after="200"/>
      </w:pPr>
      <w:r>
        <w:rPr>
          <w:i/>
          <w:iCs/>
        </w:rPr>
        <w:t xml:space="preserve">This project uses the services of Claude and Anthropic PBC to inform our decisions and recommendations. This project was made possible with the assistance of Claude and Anthropic PBC.</w:t>
      </w:r>
    </w:p>
    <w:p>
      <w:pPr>
        <w:spacing w:before="480"/>
      </w:pPr>
      <w:r>
        <w:rPr>
          <w:b/>
          <w:bCs/>
        </w:rPr>
        <w:t xml:space="preserve">Report Version: </w:t>
      </w:r>
      <w:r>
        <w:t xml:space="preserve">1.0</w:t>
      </w:r>
    </w:p>
    <w:p>
      <w:r>
        <w:rPr>
          <w:b/>
          <w:bCs/>
        </w:rPr>
        <w:t xml:space="preserve">Prepared: </w:t>
      </w:r>
      <w:r>
        <w:t xml:space="preserve">November 28, 2025</w:t>
      </w:r>
    </w:p>
    <w:p>
      <w:r>
        <w:rPr>
          <w:b/>
          <w:bCs/>
        </w:rPr>
        <w:t xml:space="preserve">Review Date: </w:t>
      </w:r>
      <w:r>
        <w:t xml:space="preserve">December 12, 2025</w:t>
      </w:r>
    </w:p>
    <w:p>
      <w:r>
        <w:rPr>
          <w:b/>
          <w:bCs/>
        </w:rPr>
        <w:t xml:space="preserve">Document Status: </w:t>
      </w:r>
      <w:r>
        <w:t xml:space="preserve">Final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UBEC Protocol Suite –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448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a448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aa0"/>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d6e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2025-11-28T07:59:18.051Z</dcterms:created>
  <dcterms:modified xsi:type="dcterms:W3CDTF">2025-11-28T07:59:18.052Z</dcterms:modified>
</cp:coreProperties>
</file>

<file path=docProps/custom.xml><?xml version="1.0" encoding="utf-8"?>
<Properties xmlns="http://schemas.openxmlformats.org/officeDocument/2006/custom-properties" xmlns:vt="http://schemas.openxmlformats.org/officeDocument/2006/docPropsVTypes"/>
</file>