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40"/>
      </w:pPr>
      <w:r>
        <w:t xml:space="preserve"/>
      </w:r>
    </w:p>
    <w:p>
      <w:pPr>
        <w:spacing w:before="40" w:after="40"/>
      </w:pPr>
      <w:r>
        <w:t xml:space="preserve"/>
      </w:r>
    </w:p>
    <w:p>
      <w:pPr>
        <w:spacing w:before="40" w:after="40"/>
      </w:pPr>
      <w:r>
        <w:t xml:space="preserve"/>
      </w:r>
    </w:p>
    <w:p>
      <w:pPr>
        <w:spacing w:before="40" w:after="40"/>
      </w:pPr>
      <w:r>
        <w:t xml:space="preserve"/>
      </w:r>
    </w:p>
    <w:p>
      <w:pPr>
        <w:spacing w:before="0" w:after="80"/>
        <w:jc w:val="center"/>
      </w:pPr>
      <w:r>
        <w:rPr>
          <w:rFonts w:ascii="Arial" w:cs="Arial" w:eastAsia="Arial" w:hAnsi="Arial"/>
          <w:b/>
          <w:bCs/>
          <w:color w:val="1B4332"/>
          <w:sz w:val="52"/>
          <w:szCs w:val="52"/>
        </w:rPr>
        <w:t xml:space="preserve">ERDPULS MÜLLROSE</w:t>
      </w:r>
    </w:p>
    <w:p>
      <w:pPr>
        <w:spacing w:before="0" w:after="200"/>
        <w:jc w:val="center"/>
      </w:pPr>
      <w:r>
        <w:rPr>
          <w:rFonts w:ascii="Arial" w:cs="Arial" w:eastAsia="Arial" w:hAnsi="Arial"/>
          <w:color w:val="2D6A4F"/>
          <w:sz w:val="26"/>
          <w:szCs w:val="26"/>
        </w:rPr>
        <w:t xml:space="preserve">Center for Sustainability Literacy, Citizen Science &amp; Reciprocal Economics</w:t>
      </w:r>
    </w:p>
    <w:p>
      <w:pPr>
        <w:pBdr>
          <w:bottom w:val="single" w:color="52B788" w:sz="6" w:space="1"/>
        </w:pBdr>
        <w:spacing w:before="200" w:after="200"/>
      </w:pPr>
      <w:r>
        <w:rPr>
          <w:rFonts w:ascii="Arial" w:cs="Arial" w:eastAsia="Arial" w:hAnsi="Arial"/>
          <w:color w:val="4A4A4A"/>
          <w:sz w:val="22"/>
          <w:szCs w:val="22"/>
        </w:rPr>
        <w:t xml:space="preserve"/>
      </w:r>
    </w:p>
    <w:p>
      <w:pPr>
        <w:spacing w:before="200" w:after="120"/>
        <w:jc w:val="center"/>
      </w:pPr>
      <w:r>
        <w:rPr>
          <w:rFonts w:ascii="Arial" w:cs="Arial" w:eastAsia="Arial" w:hAnsi="Arial"/>
          <w:b/>
          <w:bCs/>
          <w:color w:val="2D6A4F"/>
          <w:sz w:val="44"/>
          <w:szCs w:val="44"/>
        </w:rPr>
        <w:t xml:space="preserve">Learning Pathway System</w:t>
      </w:r>
    </w:p>
    <w:p>
      <w:pPr>
        <w:spacing w:before="0" w:after="300"/>
        <w:jc w:val="center"/>
      </w:pPr>
      <w:r>
        <w:rPr>
          <w:rFonts w:ascii="Arial" w:cs="Arial" w:eastAsia="Arial" w:hAnsi="Arial"/>
          <w:color w:val="4A4A4A"/>
          <w:sz w:val="24"/>
          <w:szCs w:val="24"/>
        </w:rPr>
        <w:t xml:space="preserve">General Concept, Implementation Strategy &amp; Target-Group Pathway Maps</w:t>
      </w:r>
    </w:p>
    <w:p>
      <w:pPr>
        <w:pBdr>
          <w:bottom w:val="single" w:color="52B788" w:sz="6" w:space="1"/>
        </w:pBdr>
        <w:spacing w:before="200" w:after="200"/>
      </w:pPr>
      <w:r>
        <w:rPr>
          <w:rFonts w:ascii="Arial" w:cs="Arial" w:eastAsia="Arial" w:hAnsi="Arial"/>
          <w:color w:val="4A4A4A"/>
          <w:sz w:val="22"/>
          <w:szCs w:val="22"/>
        </w:rPr>
        <w:t xml:space="preserve"/>
      </w:r>
    </w:p>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before="80" w:after="80"/>
              <w:jc w:val="left"/>
            </w:pPr>
            <w:r>
              <w:rPr>
                <w:rFonts w:ascii="Arial" w:cs="Arial" w:eastAsia="Arial" w:hAnsi="Arial"/>
                <w:b/>
                <w:bCs/>
                <w:color w:val="4A4A4A"/>
                <w:sz w:val="20"/>
                <w:szCs w:val="20"/>
              </w:rPr>
              <w:t xml:space="preserve">Version</w:t>
            </w:r>
          </w:p>
        </w:tc>
        <w:tc>
          <w:tcPr>
            <w:tcW w:type="dxa" w:w="656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1.0 — February 2026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jc w:val="left"/>
            </w:pPr>
            <w:r>
              <w:rPr>
                <w:rFonts w:ascii="Arial" w:cs="Arial" w:eastAsia="Arial" w:hAnsi="Arial"/>
                <w:b/>
                <w:bCs/>
                <w:color w:val="4A4A4A"/>
                <w:sz w:val="20"/>
                <w:szCs w:val="20"/>
              </w:rPr>
              <w:t xml:space="preserve">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Concept Document — for review and development</w:t>
            </w:r>
          </w:p>
        </w:tc>
      </w:tr>
      <w:tr>
        <w:tc>
          <w:tcPr>
            <w:tcW w:type="dxa" w:w="28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before="80" w:after="80"/>
              <w:jc w:val="left"/>
            </w:pPr>
            <w:r>
              <w:rPr>
                <w:rFonts w:ascii="Arial" w:cs="Arial" w:eastAsia="Arial" w:hAnsi="Arial"/>
                <w:b/>
                <w:bCs/>
                <w:color w:val="4A4A4A"/>
                <w:sz w:val="20"/>
                <w:szCs w:val="20"/>
              </w:rPr>
              <w:t xml:space="preserve">Author</w:t>
            </w:r>
          </w:p>
        </w:tc>
        <w:tc>
          <w:tcPr>
            <w:tcW w:type="dxa" w:w="656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Erdpuls Müllrose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jc w:val="left"/>
            </w:pPr>
            <w:r>
              <w:rPr>
                <w:rFonts w:ascii="Arial" w:cs="Arial" w:eastAsia="Arial" w:hAnsi="Arial"/>
                <w:b/>
                <w:bCs/>
                <w:color w:val="4A4A4A"/>
                <w:sz w:val="20"/>
                <w:szCs w:val="20"/>
              </w:rPr>
              <w:t xml:space="preserve">License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CC BY-NC-SA 4.0</w:t>
            </w:r>
          </w:p>
        </w:tc>
      </w:tr>
      <w:tr>
        <w:tc>
          <w:tcPr>
            <w:tcW w:type="dxa" w:w="28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before="80" w:after="80"/>
              <w:jc w:val="left"/>
            </w:pPr>
            <w:r>
              <w:rPr>
                <w:rFonts w:ascii="Arial" w:cs="Arial" w:eastAsia="Arial" w:hAnsi="Arial"/>
                <w:b/>
                <w:bCs/>
                <w:color w:val="4A4A4A"/>
                <w:sz w:val="20"/>
                <w:szCs w:val="20"/>
              </w:rPr>
              <w:t xml:space="preserve">Contact</w:t>
            </w:r>
          </w:p>
        </w:tc>
        <w:tc>
          <w:tcPr>
            <w:tcW w:type="dxa" w:w="656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erdpuls@ubec.network | https://erdpuls.ubec.network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jc w:val="left"/>
            </w:pPr>
            <w:r>
              <w:rPr>
                <w:rFonts w:ascii="Arial" w:cs="Arial" w:eastAsia="Arial" w:hAnsi="Arial"/>
                <w:b/>
                <w:bCs/>
                <w:color w:val="4A4A4A"/>
                <w:sz w:val="20"/>
                <w:szCs w:val="20"/>
              </w:rPr>
              <w:t xml:space="preserve">Mission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Ein Ort, um wieder Mensch zu werden. / A place to become human again.</w:t>
            </w:r>
          </w:p>
        </w:tc>
      </w:tr>
    </w:tbl>
    <w:p>
      <w:r>
        <w:br w:type="page"/>
      </w:r>
    </w:p>
    <w:p>
      <w:pPr>
        <w:pStyle w:val="Heading1"/>
        <w:spacing w:before="360" w:after="200"/>
      </w:pPr>
      <w:r>
        <w:rPr>
          <w:rFonts w:ascii="Arial" w:cs="Arial" w:eastAsia="Arial" w:hAnsi="Arial"/>
          <w:b/>
          <w:bCs/>
          <w:color w:val="1B4332"/>
          <w:sz w:val="36"/>
          <w:szCs w:val="36"/>
        </w:rPr>
        <w:t xml:space="preserve">Part 1 — General Concept</w:t>
      </w:r>
    </w:p>
    <w:p>
      <w:pPr>
        <w:pStyle w:val="Heading2"/>
        <w:pBdr>
          <w:bottom w:val="single" w:color="52B788" w:sz="4"/>
        </w:pBdr>
        <w:spacing w:before="280" w:after="140"/>
      </w:pPr>
      <w:r>
        <w:rPr>
          <w:rFonts w:ascii="Arial" w:cs="Arial" w:eastAsia="Arial" w:hAnsi="Arial"/>
          <w:b/>
          <w:bCs/>
          <w:color w:val="2D6A4F"/>
          <w:sz w:val="28"/>
          <w:szCs w:val="28"/>
        </w:rPr>
        <w:t xml:space="preserve">1.1 The Problem This System Is Designed to Solve</w:t>
      </w:r>
    </w:p>
    <w:p>
      <w:pPr>
        <w:spacing w:before="80" w:after="120"/>
        <w:jc w:val="left"/>
      </w:pPr>
      <w:r>
        <w:rPr>
          <w:rFonts w:ascii="Arial" w:cs="Arial" w:eastAsia="Arial" w:hAnsi="Arial"/>
          <w:color w:val="4A4A4A"/>
          <w:sz w:val="22"/>
          <w:szCs w:val="22"/>
        </w:rPr>
        <w:t xml:space="preserve">The Values-Action Gap (VAG) is not a knowledge deficit. Eurobarometer research and behavioural change literature consistently demonstrate that the majority of Europeans value sustainability, endorse its principles, and express the wish to live more sustainably — yet do not act accordingly in their daily choices. Adding more information to the knowing side of the equation does not close the gap. It can widen it, by making the problem feel more overwhelming and the individual’s capacity to respond feel more negligible.</w:t>
      </w:r>
    </w:p>
    <w:p>
      <w:pPr>
        <w:spacing w:before="80" w:after="120"/>
        <w:jc w:val="left"/>
      </w:pPr>
      <w:r>
        <w:rPr>
          <w:rFonts w:ascii="Arial" w:cs="Arial" w:eastAsia="Arial" w:hAnsi="Arial"/>
          <w:color w:val="4A4A4A"/>
          <w:sz w:val="22"/>
          <w:szCs w:val="22"/>
        </w:rPr>
        <w:t xml:space="preserve">What closes the gap is structured experience followed by structured reflection, repeated over time, in a place the learner knows and can return to. This is the core pedagogical insight behind Erdpuls: the campus in Müllrose is not a venue for delivering sustainability content; it is a place where the distance between knowing and doing can be traversed — concretely, bodily, and with social witnesses.</w:t>
      </w:r>
    </w:p>
    <w:p>
      <w:pPr>
        <w:spacing w:before="80" w:after="120"/>
        <w:jc w:val="left"/>
      </w:pPr>
      <w:r>
        <w:rPr>
          <w:rFonts w:ascii="Arial" w:cs="Arial" w:eastAsia="Arial" w:hAnsi="Arial"/>
          <w:color w:val="4A4A4A"/>
          <w:sz w:val="22"/>
          <w:szCs w:val="22"/>
        </w:rPr>
        <w:t xml:space="preserve">A learning pathway system addresses this problem at a level that individual workshops, however well designed, cannot reach on their own. It provides the longitudinal architecture across which the VAG can be closed progressively, across multiple experiences and over time. It makes growth visible, makes the next step navigable, and makes the relationship between values and action legible as a journey rather than an impossible leap.</w:t>
      </w:r>
    </w:p>
    <w:p>
      <w:pPr>
        <w:pStyle w:val="Heading2"/>
        <w:pBdr>
          <w:bottom w:val="single" w:color="52B788" w:sz="4"/>
        </w:pBdr>
        <w:spacing w:before="280" w:after="140"/>
      </w:pPr>
      <w:r>
        <w:rPr>
          <w:rFonts w:ascii="Arial" w:cs="Arial" w:eastAsia="Arial" w:hAnsi="Arial"/>
          <w:b/>
          <w:bCs/>
          <w:color w:val="2D6A4F"/>
          <w:sz w:val="28"/>
          <w:szCs w:val="28"/>
        </w:rPr>
        <w:t xml:space="preserve">1.2 Definition: What a Learning Pathway Map Is</w:t>
      </w:r>
    </w:p>
    <w:p>
      <w:pPr>
        <w:spacing w:before="80" w:after="120"/>
        <w:jc w:val="left"/>
      </w:pPr>
      <w:r>
        <w:rPr>
          <w:rFonts w:ascii="Arial" w:cs="Arial" w:eastAsia="Arial" w:hAnsi="Arial"/>
          <w:color w:val="4A4A4A"/>
          <w:sz w:val="22"/>
          <w:szCs w:val="22"/>
        </w:rPr>
        <w:t xml:space="preserve">A learning pathway map is a visual and structural representation of the possible routes through which a learner moves from their current state of competence and engagement to a defined or chosen future state. It differs from a curriculum in three ways that are essential for VAG work.</w:t>
      </w:r>
    </w:p>
    <w:p>
      <w:pPr>
        <w:spacing w:before="80" w:after="120"/>
        <w:jc w:val="left"/>
      </w:pPr>
      <w:r>
        <w:rPr>
          <w:rFonts w:ascii="Arial" w:cs="Arial" w:eastAsia="Arial" w:hAnsi="Arial"/>
          <w:color w:val="4A4A4A"/>
          <w:sz w:val="22"/>
          <w:szCs w:val="22"/>
        </w:rPr>
        <w:t xml:space="preserve">First, a curriculum is designed from the outside in — it represents what an institution has decided a learner should know and do, in what order, by what standard. A learning pathway map is designed from the inside out: it begins with where the learner actually is, makes multiple routes visible, and allows the learner to navigate with genuine agency. The experience of choosing one’s own route is itself a rehearsal for sustainability action, which is fundamentally an exercise in autonomous judgment.</w:t>
      </w:r>
    </w:p>
    <w:p>
      <w:pPr>
        <w:spacing w:before="80" w:after="120"/>
        <w:jc w:val="left"/>
      </w:pPr>
      <w:r>
        <w:rPr>
          <w:rFonts w:ascii="Arial" w:cs="Arial" w:eastAsia="Arial" w:hAnsi="Arial"/>
          <w:color w:val="4A4A4A"/>
          <w:sz w:val="22"/>
          <w:szCs w:val="22"/>
        </w:rPr>
        <w:t xml:space="preserve">Second, a pathway map represents transitions between competency states, not just content to be covered. It shows what changes as a learner progresses — what they can do at each stage that they could not do before. This makes the development of capacity visible in a way that a course syllabus does not.</w:t>
      </w:r>
    </w:p>
    <w:p>
      <w:pPr>
        <w:spacing w:before="80" w:after="120"/>
        <w:jc w:val="left"/>
      </w:pPr>
      <w:r>
        <w:rPr>
          <w:rFonts w:ascii="Arial" w:cs="Arial" w:eastAsia="Arial" w:hAnsi="Arial"/>
          <w:color w:val="4A4A4A"/>
          <w:sz w:val="22"/>
          <w:szCs w:val="22"/>
        </w:rPr>
        <w:t xml:space="preserve">Third, a well-designed pathway map makes the action dimension intrinsic to every stage, not a terminal destination. Every milestone node on the Erdpuls pathway maps is defined partly by what the learner can do and has done at that point, not only what they know or value. The 4A-Pathway (Awareness → Acknowledgment → Attitude → Action) is built into the architecture of every node.</w:t>
      </w:r>
    </w:p>
    <w:p>
      <w:pPr>
        <w:pStyle w:val="Heading2"/>
        <w:pBdr>
          <w:bottom w:val="single" w:color="52B788" w:sz="4"/>
        </w:pBdr>
        <w:spacing w:before="280" w:after="140"/>
      </w:pPr>
      <w:r>
        <w:rPr>
          <w:rFonts w:ascii="Arial" w:cs="Arial" w:eastAsia="Arial" w:hAnsi="Arial"/>
          <w:b/>
          <w:bCs/>
          <w:color w:val="2D6A4F"/>
          <w:sz w:val="28"/>
          <w:szCs w:val="28"/>
        </w:rPr>
        <w:t xml:space="preserve">1.3 Theoretical Foundations</w:t>
      </w:r>
    </w:p>
    <w:p>
      <w:pPr>
        <w:pStyle w:val="Heading3"/>
        <w:spacing w:before="200" w:after="100"/>
      </w:pPr>
      <w:r>
        <w:rPr>
          <w:rFonts w:ascii="Arial" w:cs="Arial" w:eastAsia="Arial" w:hAnsi="Arial"/>
          <w:b/>
          <w:bCs/>
          <w:color w:val="2D6A4F"/>
          <w:sz w:val="24"/>
          <w:szCs w:val="24"/>
        </w:rPr>
        <w:t xml:space="preserve">1.3.1 The Values-Action Gap (VAG) as Design Problem</w:t>
      </w:r>
    </w:p>
    <w:p>
      <w:pPr>
        <w:spacing w:before="80" w:after="120"/>
        <w:jc w:val="left"/>
      </w:pPr>
      <w:r>
        <w:rPr>
          <w:rFonts w:ascii="Arial" w:cs="Arial" w:eastAsia="Arial" w:hAnsi="Arial"/>
          <w:color w:val="4A4A4A"/>
          <w:sz w:val="22"/>
          <w:szCs w:val="22"/>
        </w:rPr>
        <w:t xml:space="preserve">The VAG is the gap between the values a person holds and the behaviours those values would logically require. It is documented across sustainability domains — food, mobility, energy, consumption — and is not primarily explained by lack of knowledge, lack of concern, or lack of good intentions. It is explained by the absence of concrete, proximal, socially supported pathways from knowing to doing. The pathway system is designed as a structural response to this diagnosis.</w:t>
      </w:r>
    </w:p>
    <w:p>
      <w:pPr>
        <w:pStyle w:val="Heading3"/>
        <w:spacing w:before="200" w:after="100"/>
      </w:pPr>
      <w:r>
        <w:rPr>
          <w:rFonts w:ascii="Arial" w:cs="Arial" w:eastAsia="Arial" w:hAnsi="Arial"/>
          <w:b/>
          <w:bCs/>
          <w:color w:val="2D6A4F"/>
          <w:sz w:val="24"/>
          <w:szCs w:val="24"/>
        </w:rPr>
        <w:t xml:space="preserve">1.3.2 Self-Determination Theory (Deci &amp; Ryan)</w:t>
      </w:r>
    </w:p>
    <w:p>
      <w:pPr>
        <w:spacing w:before="80" w:after="120"/>
        <w:jc w:val="left"/>
      </w:pPr>
      <w:r>
        <w:rPr>
          <w:rFonts w:ascii="Arial" w:cs="Arial" w:eastAsia="Arial" w:hAnsi="Arial"/>
          <w:color w:val="4A4A4A"/>
          <w:sz w:val="22"/>
          <w:szCs w:val="22"/>
        </w:rPr>
        <w:t xml:space="preserve">Self-Determination Theory identifies autonomy, competence, and relatedness as the three conditions under which intrinsic motivation — the kind that produces sustained behaviour change — develops. The pathway system directly supports all three: autonomy by allowing learners to choose their route; competence by making progress visible and verifiable at each milestone; and relatedness by showing where pathways converge and where learning is shared across target groups.</w:t>
      </w:r>
    </w:p>
    <w:p>
      <w:pPr>
        <w:pStyle w:val="Heading3"/>
        <w:spacing w:before="200" w:after="100"/>
      </w:pPr>
      <w:r>
        <w:rPr>
          <w:rFonts w:ascii="Arial" w:cs="Arial" w:eastAsia="Arial" w:hAnsi="Arial"/>
          <w:b/>
          <w:bCs/>
          <w:color w:val="2D6A4F"/>
          <w:sz w:val="24"/>
          <w:szCs w:val="24"/>
        </w:rPr>
        <w:t xml:space="preserve">1.3.3 The 4A-Pathway (Awareness → Acknowledgment → Attitude → Action)</w:t>
      </w:r>
    </w:p>
    <w:p>
      <w:pPr>
        <w:spacing w:before="80" w:after="120"/>
        <w:jc w:val="left"/>
      </w:pPr>
      <w:r>
        <w:rPr>
          <w:rFonts w:ascii="Arial" w:cs="Arial" w:eastAsia="Arial" w:hAnsi="Arial"/>
          <w:color w:val="4A4A4A"/>
          <w:sz w:val="22"/>
          <w:szCs w:val="22"/>
        </w:rPr>
        <w:t xml:space="preserve">The Erdpuls 4A-Pathway, which structures every workshop session, becomes the depth axis of the pathway map. Every milestone node on every pathway sits at a specific 4A stage. A learner can see not only that they have advanced, but in which dimension — do they need more sensory Awareness, deeper Acknowledgment of systemic connections, richer values reflection in the Attitude stage, or a concrete Action output to complete the cycle?</w:t>
      </w:r>
    </w:p>
    <w:p>
      <w:pPr>
        <w:pStyle w:val="Heading3"/>
        <w:spacing w:before="200" w:after="100"/>
      </w:pPr>
      <w:r>
        <w:rPr>
          <w:rFonts w:ascii="Arial" w:cs="Arial" w:eastAsia="Arial" w:hAnsi="Arial"/>
          <w:b/>
          <w:bCs/>
          <w:color w:val="2D6A4F"/>
          <w:sz w:val="24"/>
          <w:szCs w:val="24"/>
        </w:rPr>
        <w:t xml:space="preserve">1.3.4 Goethean Observation and the Sensor Dialogue</w:t>
      </w:r>
    </w:p>
    <w:p>
      <w:pPr>
        <w:spacing w:before="80" w:after="120"/>
        <w:jc w:val="left"/>
      </w:pPr>
      <w:r>
        <w:rPr>
          <w:rFonts w:ascii="Arial" w:cs="Arial" w:eastAsia="Arial" w:hAnsi="Arial"/>
          <w:color w:val="4A4A4A"/>
          <w:sz w:val="22"/>
          <w:szCs w:val="22"/>
        </w:rPr>
        <w:t xml:space="preserve">The principle of “body first, then instrument” — derived from Goethe’s scientific method — is not only a pedagogical technique but a map design principle. Entry nodes on every pathway begin with direct sensory encounter, before abstraction or measurement. Learners progress from Tier 1 (human senses) to Tier 2 (analogue tools) to Tier 3 (digital instruments) as their pathway deepens — a spatial and technological progression that maps directly onto the concentric ring observation structure.</w:t>
      </w:r>
    </w:p>
    <w:p>
      <w:pPr>
        <w:pStyle w:val="Heading3"/>
        <w:spacing w:before="200" w:after="100"/>
      </w:pPr>
      <w:r>
        <w:rPr>
          <w:rFonts w:ascii="Arial" w:cs="Arial" w:eastAsia="Arial" w:hAnsi="Arial"/>
          <w:b/>
          <w:bCs/>
          <w:color w:val="2D6A4F"/>
          <w:sz w:val="24"/>
          <w:szCs w:val="24"/>
        </w:rPr>
        <w:t xml:space="preserve">1.3.5 Proxemics (Hall, 1966) as Spatial Architecture of Learning</w:t>
      </w:r>
    </w:p>
    <w:p>
      <w:pPr>
        <w:spacing w:before="80" w:after="120"/>
        <w:jc w:val="left"/>
      </w:pPr>
      <w:r>
        <w:rPr>
          <w:rFonts w:ascii="Arial" w:cs="Arial" w:eastAsia="Arial" w:hAnsi="Arial"/>
          <w:color w:val="4A4A4A"/>
          <w:sz w:val="22"/>
          <w:szCs w:val="22"/>
        </w:rPr>
        <w:t xml:space="preserve">Edward T. Hall’s proxemic distance zones — intimate (0–45 cm), personal (45 cm–1.2 m), social (1.2–3.6 m), public (3.6 m+) — provide the spatial grammar of the pathway maps. Entry experiences are intimate: hands in soil, face-to-face exchange, personal distance from materials. As learners advance, they move outward — to social and public distance, to bioregional scale, to cross-border collaboration. The map makes this spatial progression visible as a learning dimension.</w:t>
      </w:r>
    </w:p>
    <w:p>
      <w:pPr>
        <w:pStyle w:val="Heading2"/>
        <w:pBdr>
          <w:bottom w:val="single" w:color="52B788" w:sz="4"/>
        </w:pBdr>
        <w:spacing w:before="280" w:after="140"/>
      </w:pPr>
      <w:r>
        <w:rPr>
          <w:rFonts w:ascii="Arial" w:cs="Arial" w:eastAsia="Arial" w:hAnsi="Arial"/>
          <w:b/>
          <w:bCs/>
          <w:color w:val="2D6A4F"/>
          <w:sz w:val="28"/>
          <w:szCs w:val="28"/>
        </w:rPr>
        <w:t xml:space="preserve">1.4 The Pathway Architecture: Three Navigational Axes</w:t>
      </w:r>
    </w:p>
    <w:p>
      <w:pPr>
        <w:spacing w:before="80" w:after="120"/>
        <w:jc w:val="left"/>
      </w:pPr>
      <w:r>
        <w:rPr>
          <w:rFonts w:ascii="Arial" w:cs="Arial" w:eastAsia="Arial" w:hAnsi="Arial"/>
          <w:color w:val="4A4A4A"/>
          <w:sz w:val="22"/>
          <w:szCs w:val="22"/>
        </w:rPr>
        <w:t xml:space="preserve">The Erdpuls Learning Pathway System is structured on three navigational axes that work together. Every milestone node on every pathway map is located at a specific position on all three axes simultaneously.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pPr>
              <w:spacing w:before="80" w:after="80"/>
              <w:jc w:val="left"/>
            </w:pPr>
            <w:r>
              <w:rPr>
                <w:rFonts w:ascii="Arial" w:cs="Arial" w:eastAsia="Arial" w:hAnsi="Arial"/>
                <w:b/>
                <w:bCs/>
                <w:color w:val="FFFFFF"/>
                <w:sz w:val="20"/>
                <w:szCs w:val="20"/>
              </w:rPr>
              <w:t xml:space="preserve">Axis</w:t>
            </w:r>
          </w:p>
        </w:tc>
        <w:tc>
          <w:tcPr>
            <w:tcW w:type="dxa" w:w="30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pPr>
              <w:spacing w:before="80" w:after="80"/>
              <w:jc w:val="left"/>
            </w:pPr>
            <w:r>
              <w:rPr>
                <w:rFonts w:ascii="Arial" w:cs="Arial" w:eastAsia="Arial" w:hAnsi="Arial"/>
                <w:b/>
                <w:bCs/>
                <w:color w:val="FFFFFF"/>
                <w:sz w:val="20"/>
                <w:szCs w:val="20"/>
              </w:rPr>
              <w:t xml:space="preserve">What It Measures</w:t>
            </w:r>
          </w:p>
        </w:tc>
        <w:tc>
          <w:tcPr>
            <w:tcW w:type="dxa" w:w="43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pPr>
              <w:spacing w:before="80" w:after="80"/>
              <w:jc w:val="left"/>
            </w:pPr>
            <w:r>
              <w:rPr>
                <w:rFonts w:ascii="Arial" w:cs="Arial" w:eastAsia="Arial" w:hAnsi="Arial"/>
                <w:b/>
                <w:bCs/>
                <w:color w:val="FFFFFF"/>
                <w:sz w:val="20"/>
                <w:szCs w:val="20"/>
              </w:rPr>
              <w:t xml:space="preserve">How It Appears in Practice</w:t>
            </w:r>
          </w:p>
        </w:tc>
      </w:tr>
      <w:tr>
        <w:tc>
          <w:tcPr>
            <w:tcW w:type="dxa" w:w="200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pPr>
              <w:spacing w:before="80" w:after="80"/>
              <w:jc w:val="left"/>
            </w:pPr>
            <w:r>
              <w:rPr>
                <w:rFonts w:ascii="Arial" w:cs="Arial" w:eastAsia="Arial" w:hAnsi="Arial"/>
                <w:b/>
                <w:bCs/>
                <w:color w:val="4A4A4A"/>
                <w:sz w:val="20"/>
                <w:szCs w:val="20"/>
              </w:rPr>
              <w:t xml:space="preserve">X-Axis: Time &amp; Progression</w:t>
            </w:r>
          </w:p>
        </w:tc>
        <w:tc>
          <w:tcPr>
            <w:tcW w:type="dxa" w:w="300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Movement from entry through intermediate, advanced, and leadership stages</w:t>
            </w:r>
          </w:p>
        </w:tc>
        <w:tc>
          <w:tcPr>
            <w:tcW w:type="dxa" w:w="436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The horizontal progression of nodes on each pathway map; also reflects token accumulation over time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jc w:val="left"/>
            </w:pPr>
            <w:r>
              <w:rPr>
                <w:rFonts w:ascii="Arial" w:cs="Arial" w:eastAsia="Arial" w:hAnsi="Arial"/>
                <w:b/>
                <w:bCs/>
                <w:color w:val="4A4A4A"/>
                <w:sz w:val="20"/>
                <w:szCs w:val="20"/>
              </w:rPr>
              <w:t xml:space="preserve">Y-Axis: 4A-Pathway Depth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Which stage of the Awareness → Acknowledgment → Attitude → Action arc a node primarily develops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Colour-coding of each node; the four 4A stages are the four milestone types on every pathway</w:t>
            </w:r>
          </w:p>
        </w:tc>
      </w:tr>
      <w:tr>
        <w:tc>
          <w:tcPr>
            <w:tcW w:type="dxa" w:w="200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pPr>
              <w:spacing w:before="80" w:after="80"/>
              <w:jc w:val="left"/>
            </w:pPr>
            <w:r>
              <w:rPr>
                <w:rFonts w:ascii="Arial" w:cs="Arial" w:eastAsia="Arial" w:hAnsi="Arial"/>
                <w:b/>
                <w:bCs/>
                <w:color w:val="4A4A4A"/>
                <w:sz w:val="20"/>
                <w:szCs w:val="20"/>
              </w:rPr>
              <w:t xml:space="preserve">Z-Axis: Spatial-Sensory Depth</w:t>
            </w:r>
          </w:p>
        </w:tc>
        <w:tc>
          <w:tcPr>
            <w:tcW w:type="dxa" w:w="300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Movement from intimate sensory encounter (Ring 0) outward to bioregional engagement (Ring 4)</w:t>
            </w:r>
          </w:p>
        </w:tc>
        <w:tc>
          <w:tcPr>
            <w:tcW w:type="dxa" w:w="436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Reflects Goethean Tier 1→3, proxemic distance, and the concentric ring observation structure</w:t>
            </w:r>
          </w:p>
        </w:tc>
      </w:tr>
    </w:tbl>
    <w:p>
      <w:pPr>
        <w:pStyle w:val="Heading2"/>
        <w:pBdr>
          <w:bottom w:val="single" w:color="52B788" w:sz="4"/>
        </w:pBdr>
        <w:spacing w:before="280" w:after="140"/>
      </w:pPr>
      <w:r>
        <w:rPr>
          <w:rFonts w:ascii="Arial" w:cs="Arial" w:eastAsia="Arial" w:hAnsi="Arial"/>
          <w:b/>
          <w:bCs/>
          <w:color w:val="2D6A4F"/>
          <w:sz w:val="28"/>
          <w:szCs w:val="28"/>
        </w:rPr>
        <w:t xml:space="preserve">1.5 The Five Competency Clusters as Pathway Dimensions</w:t>
      </w:r>
    </w:p>
    <w:p>
      <w:pPr>
        <w:spacing w:before="80" w:after="120"/>
        <w:jc w:val="left"/>
      </w:pPr>
      <w:r>
        <w:rPr>
          <w:rFonts w:ascii="Arial" w:cs="Arial" w:eastAsia="Arial" w:hAnsi="Arial"/>
          <w:color w:val="4A4A4A"/>
          <w:sz w:val="22"/>
          <w:szCs w:val="22"/>
        </w:rPr>
        <w:t xml:space="preserve">All five OER Competency Clusters — Environmental Literacy, Scientific Inquiry, Technology Competence, Economic Understanding, and Social-Emotional Learning — are addressed to different degrees at every pathway node. The pathway maps show which clusters are most active at each milestone, allowing a learner or facilitator to see whether a learner’s competency profile is developing evenly across all five dimensions or deepening in particular areas that match their interests and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pPr>
              <w:spacing w:before="80" w:after="80"/>
              <w:jc w:val="left"/>
            </w:pPr>
            <w:r>
              <w:rPr>
                <w:rFonts w:ascii="Arial" w:cs="Arial" w:eastAsia="Arial" w:hAnsi="Arial"/>
                <w:b/>
                <w:bCs/>
                <w:color w:val="FFFFFF"/>
                <w:sz w:val="20"/>
                <w:szCs w:val="20"/>
              </w:rPr>
              <w:t xml:space="preserve">Competency Cluster</w:t>
            </w:r>
          </w:p>
        </w:tc>
        <w:tc>
          <w:tcPr>
            <w:tcW w:type="dxa" w:w="24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pPr>
              <w:spacing w:before="80" w:after="80"/>
              <w:jc w:val="left"/>
            </w:pPr>
            <w:r>
              <w:rPr>
                <w:rFonts w:ascii="Arial" w:cs="Arial" w:eastAsia="Arial" w:hAnsi="Arial"/>
                <w:b/>
                <w:bCs/>
                <w:color w:val="FFFFFF"/>
                <w:sz w:val="20"/>
                <w:szCs w:val="20"/>
              </w:rPr>
              <w:t xml:space="preserve">BNE Alignment</w:t>
            </w:r>
          </w:p>
        </w:tc>
        <w:tc>
          <w:tcPr>
            <w:tcW w:type="dxa" w:w="41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pPr>
              <w:spacing w:before="80" w:after="80"/>
              <w:jc w:val="left"/>
            </w:pPr>
            <w:r>
              <w:rPr>
                <w:rFonts w:ascii="Arial" w:cs="Arial" w:eastAsia="Arial" w:hAnsi="Arial"/>
                <w:b/>
                <w:bCs/>
                <w:color w:val="FFFFFF"/>
                <w:sz w:val="20"/>
                <w:szCs w:val="20"/>
              </w:rPr>
              <w:t xml:space="preserve">Primary Pathway Expression</w:t>
            </w:r>
          </w:p>
        </w:tc>
      </w:tr>
      <w:tr>
        <w:tc>
          <w:tcPr>
            <w:tcW w:type="dxa" w:w="280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pPr>
              <w:spacing w:before="80" w:after="80"/>
              <w:jc w:val="left"/>
            </w:pPr>
            <w:r>
              <w:rPr>
                <w:rFonts w:ascii="Arial" w:cs="Arial" w:eastAsia="Arial" w:hAnsi="Arial"/>
                <w:b/>
                <w:bCs/>
                <w:color w:val="4A4A4A"/>
                <w:sz w:val="20"/>
                <w:szCs w:val="20"/>
              </w:rPr>
              <w:t xml:space="preserve">Environmental Literacy</w:t>
            </w:r>
          </w:p>
        </w:tc>
        <w:tc>
          <w:tcPr>
            <w:tcW w:type="dxa" w:w="240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4.1.1, 4.1.2, 4.1.3</w:t>
            </w:r>
          </w:p>
        </w:tc>
        <w:tc>
          <w:tcPr>
            <w:tcW w:type="dxa" w:w="416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Sensory soil knowledge, species identification, seasonal ecological rhythms, bioregional boundary awareness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jc w:val="left"/>
            </w:pPr>
            <w:r>
              <w:rPr>
                <w:rFonts w:ascii="Arial" w:cs="Arial" w:eastAsia="Arial" w:hAnsi="Arial"/>
                <w:b/>
                <w:bCs/>
                <w:color w:val="4A4A4A"/>
                <w:sz w:val="20"/>
                <w:szCs w:val="20"/>
              </w:rPr>
              <w:t xml:space="preserve">Scientific Inquiry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4.1.4, 4.2.1, 4.3.2</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Sensor dialogue, iNaturalist contribution, independent research question design, open data literacy</w:t>
            </w:r>
          </w:p>
        </w:tc>
      </w:tr>
      <w:tr>
        <w:tc>
          <w:tcPr>
            <w:tcW w:type="dxa" w:w="280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pPr>
              <w:spacing w:before="80" w:after="80"/>
              <w:jc w:val="left"/>
            </w:pPr>
            <w:r>
              <w:rPr>
                <w:rFonts w:ascii="Arial" w:cs="Arial" w:eastAsia="Arial" w:hAnsi="Arial"/>
                <w:b/>
                <w:bCs/>
                <w:color w:val="4A4A4A"/>
                <w:sz w:val="20"/>
                <w:szCs w:val="20"/>
              </w:rPr>
              <w:t xml:space="preserve">Technology Competence</w:t>
            </w:r>
          </w:p>
        </w:tc>
        <w:tc>
          <w:tcPr>
            <w:tcW w:type="dxa" w:w="240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4.1.2, 4.3.2</w:t>
            </w:r>
          </w:p>
        </w:tc>
        <w:tc>
          <w:tcPr>
            <w:tcW w:type="dxa" w:w="416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senseBox construction and operation, openSenseMap data entry, QGIS orientation, IoT network understanding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jc w:val="left"/>
            </w:pPr>
            <w:r>
              <w:rPr>
                <w:rFonts w:ascii="Arial" w:cs="Arial" w:eastAsia="Arial" w:hAnsi="Arial"/>
                <w:b/>
                <w:bCs/>
                <w:color w:val="4A4A4A"/>
                <w:sz w:val="20"/>
                <w:szCs w:val="20"/>
              </w:rPr>
              <w:t xml:space="preserve">Economic Understanding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4.2.2, 4.2.3, 4.3.1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Token economy participation, four-element recognition, Repair Café engagement, UBECrc design exercises</w:t>
            </w:r>
          </w:p>
        </w:tc>
      </w:tr>
      <w:tr>
        <w:tc>
          <w:tcPr>
            <w:tcW w:type="dxa" w:w="280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pPr>
              <w:spacing w:before="80" w:after="80"/>
              <w:jc w:val="left"/>
            </w:pPr>
            <w:r>
              <w:rPr>
                <w:rFonts w:ascii="Arial" w:cs="Arial" w:eastAsia="Arial" w:hAnsi="Arial"/>
                <w:b/>
                <w:bCs/>
                <w:color w:val="4A4A4A"/>
                <w:sz w:val="20"/>
                <w:szCs w:val="20"/>
              </w:rPr>
              <w:t xml:space="preserve">Social-Emotional Learning</w:t>
            </w:r>
          </w:p>
        </w:tc>
        <w:tc>
          <w:tcPr>
            <w:tcW w:type="dxa" w:w="240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4.2.4, 4.3.3, 4.3.4</w:t>
            </w:r>
          </w:p>
        </w:tc>
        <w:tc>
          <w:tcPr>
            <w:tcW w:type="dxa" w:w="416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Empathy for soil organisms, intergenerational knowledge exchange, cross-cultural proxemic negotiation, Values-Action Map reflection</w:t>
            </w:r>
          </w:p>
        </w:tc>
      </w:tr>
    </w:tbl>
    <w:p>
      <w:pPr>
        <w:pStyle w:val="Heading2"/>
        <w:pBdr>
          <w:bottom w:val="single" w:color="52B788" w:sz="4"/>
        </w:pBdr>
        <w:spacing w:before="280" w:after="140"/>
      </w:pPr>
      <w:r>
        <w:rPr>
          <w:rFonts w:ascii="Arial" w:cs="Arial" w:eastAsia="Arial" w:hAnsi="Arial"/>
          <w:b/>
          <w:bCs/>
          <w:color w:val="2D6A4F"/>
          <w:sz w:val="28"/>
          <w:szCs w:val="28"/>
        </w:rPr>
        <w:t xml:space="preserve">1.6 The Token Economy as Pathway Tracking System</w:t>
      </w:r>
    </w:p>
    <w:p>
      <w:pPr>
        <w:spacing w:before="80" w:after="120"/>
        <w:jc w:val="left"/>
      </w:pPr>
      <w:r>
        <w:rPr>
          <w:rFonts w:ascii="Arial" w:cs="Arial" w:eastAsia="Arial" w:hAnsi="Arial"/>
          <w:color w:val="4A4A4A"/>
          <w:sz w:val="22"/>
          <w:szCs w:val="22"/>
        </w:rPr>
        <w:t xml:space="preserve">The UBECrc token economy, implemented on the Stellar blockchain, is not only a reciprocal economics instrument. Within the pathway system, every token earned is simultaneously a pathway trace — a verifiable record of an experience that advanced the learner’s competency profile. Cooperation tokens mark collaborative milestones; Mutualism tokens mark contributions to the commons; Regeneration tokens mark the highest-impact action nodes where ecological or social conditions are demonstrably improved.</w:t>
      </w:r>
    </w:p>
    <w:p>
      <w:pPr>
        <w:spacing w:before="80" w:after="120"/>
        <w:jc w:val="left"/>
      </w:pPr>
      <w:r>
        <w:rPr>
          <w:rFonts w:ascii="Arial" w:cs="Arial" w:eastAsia="Arial" w:hAnsi="Arial"/>
          <w:color w:val="4A4A4A"/>
          <w:sz w:val="22"/>
          <w:szCs w:val="22"/>
        </w:rPr>
        <w:t xml:space="preserve">When token records are mapped against the competency clusters and the 4A-Pathway stages, they produce an automatically generated learning pathway trace for each participant. This makes the token ledger the longitudinal evidence base for the pathway system — converting the invisible work of learning into a publicly verifiable record that belongs to the participant, not to the institution.</w:t>
      </w:r>
    </w:p>
    <w:p>
      <w:pPr>
        <w:pStyle w:val="Heading2"/>
        <w:pBdr>
          <w:bottom w:val="single" w:color="52B788" w:sz="4"/>
        </w:pBdr>
        <w:spacing w:before="280" w:after="140"/>
      </w:pPr>
      <w:r>
        <w:rPr>
          <w:rFonts w:ascii="Arial" w:cs="Arial" w:eastAsia="Arial" w:hAnsi="Arial"/>
          <w:b/>
          <w:bCs/>
          <w:color w:val="2D6A4F"/>
          <w:sz w:val="28"/>
          <w:szCs w:val="28"/>
        </w:rPr>
        <w:t xml:space="preserve">1.7 Cross-Group Convergence Zones</w:t>
      </w:r>
    </w:p>
    <w:p>
      <w:pPr>
        <w:spacing w:before="80" w:after="120"/>
        <w:jc w:val="left"/>
      </w:pPr>
      <w:r>
        <w:rPr>
          <w:rFonts w:ascii="Arial" w:cs="Arial" w:eastAsia="Arial" w:hAnsi="Arial"/>
          <w:color w:val="4A4A4A"/>
          <w:sz w:val="22"/>
          <w:szCs w:val="22"/>
        </w:rPr>
        <w:t xml:space="preserve">A distinctive feature of the Erdpuls pathway system is that the five target-group pathways are not parallel and separate. They converge at specific programme moments where participants from different groups encounter the same materials, places, and data — but from their different vantage points. These convergence zones are among the most educationally powerful moments in the programme.</w:t>
      </w:r>
    </w:p>
    <w:p>
      <w:pPr>
        <w:spacing w:before="80" w:after="120"/>
        <w:jc w:val="left"/>
      </w:pPr>
      <w:r>
        <w:rPr>
          <w:rFonts w:ascii="Arial" w:cs="Arial" w:eastAsia="Arial" w:hAnsi="Arial"/>
          <w:color w:val="4A4A4A"/>
          <w:sz w:val="22"/>
          <w:szCs w:val="22"/>
        </w:rPr>
        <w:t xml:space="preserve">In the annual spring-to-autumn observational cycle, a school class (Guide 1) visits a soil patch in spring and establishes baseline observations; adults and families (Guide 2) deepen with practical garden knowledge in early summer; the Artist-in-Residence (Guide 4) maintains daily sustained practice across midsummer; an intergenerational group (Guide 3) layers elder memory over the accumulated data in autumn; and a cross-border group (Guide 5) extends the observations across the border in late autumn. The convergence of these five data streams across a single soil patch — over a single season — produces a depth of place-knowledge that no single group could generate alone.</w:t>
      </w:r>
    </w:p>
    <w:p>
      <w:pPr>
        <w:spacing w:before="80" w:after="120"/>
        <w:jc w:val="left"/>
      </w:pPr>
      <w:r>
        <w:rPr>
          <w:rFonts w:ascii="Arial" w:cs="Arial" w:eastAsia="Arial" w:hAnsi="Arial"/>
          <w:color w:val="4A4A4A"/>
          <w:sz w:val="22"/>
          <w:szCs w:val="22"/>
        </w:rPr>
        <w:t xml:space="preserve">Convergence zones are marked on each pathway map and represent moments where the token economy also generates cross-group Mutualism tokens: the school child whose data informs the elder’s memory comparison; the elder whose oral history deepens the artist’s pattern language; the artist whose maps become the cross-border group’s shared reference. These relationships are legible in the token ledger as inter-group reciprocity flows.</w:t>
      </w:r>
    </w:p>
    <w:p>
      <w:pPr>
        <w:pStyle w:val="Heading2"/>
        <w:pBdr>
          <w:bottom w:val="single" w:color="52B788" w:sz="4"/>
        </w:pBdr>
        <w:spacing w:before="280" w:after="140"/>
      </w:pPr>
      <w:r>
        <w:rPr>
          <w:rFonts w:ascii="Arial" w:cs="Arial" w:eastAsia="Arial" w:hAnsi="Arial"/>
          <w:b/>
          <w:bCs/>
          <w:color w:val="2D6A4F"/>
          <w:sz w:val="28"/>
          <w:szCs w:val="28"/>
        </w:rPr>
        <w:t xml:space="preserve">1.8 The Facilitator Pathway</w:t>
      </w:r>
    </w:p>
    <w:p>
      <w:pPr>
        <w:spacing w:before="80" w:after="120"/>
        <w:jc w:val="left"/>
      </w:pPr>
      <w:r>
        <w:rPr>
          <w:rFonts w:ascii="Arial" w:cs="Arial" w:eastAsia="Arial" w:hAnsi="Arial"/>
          <w:color w:val="4A4A4A"/>
          <w:sz w:val="22"/>
          <w:szCs w:val="22"/>
        </w:rPr>
        <w:t xml:space="preserve">The learning pathway system includes a dedicated facilitator development pathway, which is the primary institutional capacity-building mechanism. This pathway moves from programme participant through co-facilitator and lead facilitator to programme designer and trainer of facilitators — making the full development trajectory visible and navigable.</w:t>
      </w:r>
    </w:p>
    <w:p>
      <w:pPr>
        <w:spacing w:before="80" w:after="120"/>
        <w:jc w:val="left"/>
      </w:pPr>
      <w:r>
        <w:rPr>
          <w:rFonts w:ascii="Arial" w:cs="Arial" w:eastAsia="Arial" w:hAnsi="Arial"/>
          <w:color w:val="4A4A4A"/>
          <w:sz w:val="22"/>
          <w:szCs w:val="22"/>
        </w:rPr>
        <w:t xml:space="preserve">This pathway is grounded in the Collective Threshold Model: the four participation pathways (including the Supported Rate) ensure that financial means do not determine access to the facilitator pathway. The token economy provides structural support for this, as tokens earned in participant roles can contribute to the Supported Rate threshold for facilitator training participation.</w:t>
      </w:r>
    </w:p>
    <w:p>
      <w:r>
        <w:br w:type="page"/>
      </w:r>
    </w:p>
    <w:p>
      <w:pPr>
        <w:pStyle w:val="Heading1"/>
        <w:spacing w:before="360" w:after="200"/>
      </w:pPr>
      <w:r>
        <w:rPr>
          <w:rFonts w:ascii="Arial" w:cs="Arial" w:eastAsia="Arial" w:hAnsi="Arial"/>
          <w:b/>
          <w:bCs/>
          <w:color w:val="1B4332"/>
          <w:sz w:val="36"/>
          <w:szCs w:val="36"/>
        </w:rPr>
        <w:t xml:space="preserve">Part 2 — Implementation Strategy</w:t>
      </w:r>
    </w:p>
    <w:p>
      <w:pPr>
        <w:pStyle w:val="Heading2"/>
        <w:pBdr>
          <w:bottom w:val="single" w:color="52B788" w:sz="4"/>
        </w:pBdr>
        <w:spacing w:before="280" w:after="140"/>
      </w:pPr>
      <w:r>
        <w:rPr>
          <w:rFonts w:ascii="Arial" w:cs="Arial" w:eastAsia="Arial" w:hAnsi="Arial"/>
          <w:b/>
          <w:bCs/>
          <w:color w:val="2D6A4F"/>
          <w:sz w:val="28"/>
          <w:szCs w:val="28"/>
        </w:rPr>
        <w:t xml:space="preserve">2.1 Phased Rollout Aligned to Project Phases</w:t>
      </w:r>
    </w:p>
    <w:p>
      <w:pPr>
        <w:spacing w:before="80" w:after="120"/>
        <w:jc w:val="left"/>
      </w:pPr>
      <w:r>
        <w:rPr>
          <w:rFonts w:ascii="Arial" w:cs="Arial" w:eastAsia="Arial" w:hAnsi="Arial"/>
          <w:color w:val="4A4A4A"/>
          <w:sz w:val="22"/>
          <w:szCs w:val="22"/>
        </w:rPr>
        <w:t xml:space="preserve">The Learning Pathway System is designed to be implemented across the three documented project phases, with each phase adding a layer of pathway infrastructure while the preceding layers continue operating.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680"/>
        <w:gridCol w:w="2680"/>
      </w:tblGrid>
      <w:tr>
        <w:trPr>
          <w:tblHeader/>
        </w:trPr>
        <w:tc>
          <w:tcPr>
            <w:tcW w:type="dxa" w:w="18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pPr>
              <w:spacing w:before="80" w:after="80"/>
              <w:jc w:val="left"/>
            </w:pPr>
            <w:r>
              <w:rPr>
                <w:rFonts w:ascii="Arial" w:cs="Arial" w:eastAsia="Arial" w:hAnsi="Arial"/>
                <w:b/>
                <w:bCs/>
                <w:color w:val="FFFFFF"/>
                <w:sz w:val="20"/>
                <w:szCs w:val="20"/>
              </w:rPr>
              <w:t xml:space="preserve">Phase</w:t>
            </w:r>
          </w:p>
        </w:tc>
        <w:tc>
          <w:tcPr>
            <w:tcW w:type="dxa" w:w="2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pPr>
              <w:spacing w:before="80" w:after="80"/>
              <w:jc w:val="left"/>
            </w:pPr>
            <w:r>
              <w:rPr>
                <w:rFonts w:ascii="Arial" w:cs="Arial" w:eastAsia="Arial" w:hAnsi="Arial"/>
                <w:b/>
                <w:bCs/>
                <w:color w:val="FFFFFF"/>
                <w:sz w:val="20"/>
                <w:szCs w:val="20"/>
              </w:rPr>
              <w:t xml:space="preserve">Period</w:t>
            </w:r>
          </w:p>
        </w:tc>
        <w:tc>
          <w:tcPr>
            <w:tcW w:type="dxa" w:w="268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pPr>
              <w:spacing w:before="80" w:after="80"/>
              <w:jc w:val="left"/>
            </w:pPr>
            <w:r>
              <w:rPr>
                <w:rFonts w:ascii="Arial" w:cs="Arial" w:eastAsia="Arial" w:hAnsi="Arial"/>
                <w:b/>
                <w:bCs/>
                <w:color w:val="FFFFFF"/>
                <w:sz w:val="20"/>
                <w:szCs w:val="20"/>
              </w:rPr>
              <w:t xml:space="preserve">Pathway Infrastructure Added</w:t>
            </w:r>
          </w:p>
        </w:tc>
        <w:tc>
          <w:tcPr>
            <w:tcW w:type="dxa" w:w="268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pPr>
              <w:spacing w:before="80" w:after="80"/>
              <w:jc w:val="left"/>
            </w:pPr>
            <w:r>
              <w:rPr>
                <w:rFonts w:ascii="Arial" w:cs="Arial" w:eastAsia="Arial" w:hAnsi="Arial"/>
                <w:b/>
                <w:bCs/>
                <w:color w:val="FFFFFF"/>
                <w:sz w:val="20"/>
                <w:szCs w:val="20"/>
              </w:rPr>
              <w:t xml:space="preserve">Key Deliverable</w:t>
            </w:r>
          </w:p>
        </w:tc>
      </w:tr>
      <w:tr>
        <w:tc>
          <w:tcPr>
            <w:tcW w:type="dxa" w:w="180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pPr>
              <w:spacing w:before="80" w:after="80"/>
              <w:jc w:val="left"/>
            </w:pPr>
            <w:r>
              <w:rPr>
                <w:rFonts w:ascii="Arial" w:cs="Arial" w:eastAsia="Arial" w:hAnsi="Arial"/>
                <w:b/>
                <w:bCs/>
                <w:color w:val="4A4A4A"/>
                <w:sz w:val="20"/>
                <w:szCs w:val="20"/>
              </w:rPr>
              <w:t xml:space="preserve">Phase 1: Establish &amp; Activate</w:t>
            </w:r>
          </w:p>
        </w:tc>
        <w:tc>
          <w:tcPr>
            <w:tcW w:type="dxa" w:w="220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2026–2027</w:t>
            </w:r>
          </w:p>
        </w:tc>
        <w:tc>
          <w:tcPr>
            <w:tcW w:type="dxa" w:w="268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Entry nodes for all five target groups; paper token cards; milestone documentation templates; Values-Action Map worksheet integrated into all sessions</w:t>
            </w:r>
          </w:p>
        </w:tc>
        <w:tc>
          <w:tcPr>
            <w:tcW w:type="dxa" w:w="268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First full seasonal cycle with pathway traces for all five groups; baseline competency profiles established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jc w:val="left"/>
            </w:pPr>
            <w:r>
              <w:rPr>
                <w:rFonts w:ascii="Arial" w:cs="Arial" w:eastAsia="Arial" w:hAnsi="Arial"/>
                <w:b/>
                <w:bCs/>
                <w:color w:val="4A4A4A"/>
                <w:sz w:val="20"/>
                <w:szCs w:val="20"/>
              </w:rPr>
              <w:t xml:space="preserve">Phase 2: Renovate &amp; Expand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2027–2028</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Formal participant evaluation instruments (BNE 5.2.2); digital pathway dashboard linked to token ledger; facilitator pathway formalised with co-facilitator training programme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First facilitator training cohort; digital pathway traces for returning participants; cross-group convergence events documented</w:t>
            </w:r>
          </w:p>
        </w:tc>
      </w:tr>
      <w:tr>
        <w:tc>
          <w:tcPr>
            <w:tcW w:type="dxa" w:w="180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pPr>
              <w:spacing w:before="80" w:after="80"/>
              <w:jc w:val="left"/>
            </w:pPr>
            <w:r>
              <w:rPr>
                <w:rFonts w:ascii="Arial" w:cs="Arial" w:eastAsia="Arial" w:hAnsi="Arial"/>
                <w:b/>
                <w:bCs/>
                <w:color w:val="4A4A4A"/>
                <w:sz w:val="20"/>
                <w:szCs w:val="20"/>
              </w:rPr>
              <w:t xml:space="preserve">Phase 3: Mature &amp; Radiate</w:t>
            </w:r>
          </w:p>
        </w:tc>
        <w:tc>
          <w:tcPr>
            <w:tcW w:type="dxa" w:w="220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2028–2030</w:t>
            </w:r>
          </w:p>
        </w:tc>
        <w:tc>
          <w:tcPr>
            <w:tcW w:type="dxa" w:w="268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External impact evaluation (BNE 5.2.3); regional model dissemination; pathway system published as OER; cross-border pathway integration with Polish partner sites</w:t>
            </w:r>
          </w:p>
        </w:tc>
        <w:tc>
          <w:tcPr>
            <w:tcW w:type="dxa" w:w="268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Pathway system as transferable OER; longitudinal dataset of pathway traces; regional facilitator network</w:t>
            </w:r>
          </w:p>
        </w:tc>
      </w:tr>
    </w:tbl>
    <w:p>
      <w:pPr>
        <w:pStyle w:val="Heading2"/>
        <w:pBdr>
          <w:bottom w:val="single" w:color="52B788" w:sz="4"/>
        </w:pBdr>
        <w:spacing w:before="280" w:after="140"/>
      </w:pPr>
      <w:r>
        <w:rPr>
          <w:rFonts w:ascii="Arial" w:cs="Arial" w:eastAsia="Arial" w:hAnsi="Arial"/>
          <w:b/>
          <w:bCs/>
          <w:color w:val="2D6A4F"/>
          <w:sz w:val="28"/>
          <w:szCs w:val="28"/>
        </w:rPr>
        <w:t xml:space="preserve">2.2 The VAG Diagnostic at Every Node</w:t>
      </w:r>
    </w:p>
    <w:p>
      <w:pPr>
        <w:spacing w:before="80" w:after="120"/>
        <w:jc w:val="left"/>
      </w:pPr>
      <w:r>
        <w:rPr>
          <w:rFonts w:ascii="Arial" w:cs="Arial" w:eastAsia="Arial" w:hAnsi="Arial"/>
          <w:color w:val="4A4A4A"/>
          <w:sz w:val="22"/>
          <w:szCs w:val="22"/>
        </w:rPr>
        <w:t xml:space="preserve">A critical implementation principle is that the Values-Action Gap is made explicitly visible at every pathway milestone, not only at the end of a learning sequence. At each milestone node, the facilitator works with the participant on a three-column reflection that has been proven effective in the BNE Quality Living Guides adult workshops:</w:t>
      </w:r>
    </w:p>
    <w:p>
      <w:pPr>
        <w:pStyle w:val="ListParagraph"/>
        <w:numPr>
          <w:ilvl w:val="0"/>
          <w:numId w:val="2"/>
        </w:numPr>
        <w:spacing w:before="60" w:after="60"/>
      </w:pPr>
      <w:r>
        <w:rPr>
          <w:rFonts w:ascii="Arial" w:cs="Arial" w:eastAsia="Arial" w:hAnsi="Arial"/>
          <w:color w:val="4A4A4A"/>
          <w:sz w:val="22"/>
          <w:szCs w:val="22"/>
        </w:rPr>
        <w:t xml:space="preserve">Left column: What do I know I should do for sustainability in this domain?</w:t>
      </w:r>
    </w:p>
    <w:p>
      <w:pPr>
        <w:pStyle w:val="ListParagraph"/>
        <w:numPr>
          <w:ilvl w:val="0"/>
          <w:numId w:val="2"/>
        </w:numPr>
        <w:spacing w:before="60" w:after="60"/>
      </w:pPr>
      <w:r>
        <w:rPr>
          <w:rFonts w:ascii="Arial" w:cs="Arial" w:eastAsia="Arial" w:hAnsi="Arial"/>
          <w:color w:val="4A4A4A"/>
          <w:sz w:val="22"/>
          <w:szCs w:val="22"/>
        </w:rPr>
        <w:t xml:space="preserve">Middle column: What have I actually done since my last milestone?</w:t>
      </w:r>
    </w:p>
    <w:p>
      <w:pPr>
        <w:pStyle w:val="ListParagraph"/>
        <w:numPr>
          <w:ilvl w:val="0"/>
          <w:numId w:val="2"/>
        </w:numPr>
        <w:spacing w:before="60" w:after="60"/>
      </w:pPr>
      <w:r>
        <w:rPr>
          <w:rFonts w:ascii="Arial" w:cs="Arial" w:eastAsia="Arial" w:hAnsi="Arial"/>
          <w:color w:val="4A4A4A"/>
          <w:sz w:val="22"/>
          <w:szCs w:val="22"/>
        </w:rPr>
        <w:t xml:space="preserve">Right column: What stands between the knowing and the doing — and what concretely would reduce that distance?</w:t>
      </w:r>
    </w:p>
    <w:p>
      <w:pPr>
        <w:spacing w:before="80" w:after="120"/>
        <w:jc w:val="left"/>
      </w:pPr>
      <w:r>
        <w:rPr>
          <w:rFonts w:ascii="Arial" w:cs="Arial" w:eastAsia="Arial" w:hAnsi="Arial"/>
          <w:color w:val="4A4A4A"/>
          <w:sz w:val="22"/>
          <w:szCs w:val="22"/>
        </w:rPr>
        <w:t xml:space="preserve">The right column is the most important. It converts the gap from a source of guilt or helplessness into a design problem with specific, actionable dimensions. It also generates the data that feeds the institutional pathway system: when many participants’ right columns identify the same barrier (for example, lack of access to soil in an urban school, or lack of community partners for repair), that barrier becomes a programme development priority.</w:t>
      </w:r>
    </w:p>
    <w:p>
      <w:pPr>
        <w:pStyle w:val="Heading2"/>
        <w:pBdr>
          <w:bottom w:val="single" w:color="52B788" w:sz="4"/>
        </w:pBdr>
        <w:spacing w:before="280" w:after="140"/>
      </w:pPr>
      <w:r>
        <w:rPr>
          <w:rFonts w:ascii="Arial" w:cs="Arial" w:eastAsia="Arial" w:hAnsi="Arial"/>
          <w:b/>
          <w:bCs/>
          <w:color w:val="2D6A4F"/>
          <w:sz w:val="28"/>
          <w:szCs w:val="28"/>
        </w:rPr>
        <w:t xml:space="preserve">2.3 Pathway Documentation Standards</w:t>
      </w:r>
    </w:p>
    <w:p>
      <w:pPr>
        <w:spacing w:before="80" w:after="120"/>
        <w:jc w:val="left"/>
      </w:pPr>
      <w:r>
        <w:rPr>
          <w:rFonts w:ascii="Arial" w:cs="Arial" w:eastAsia="Arial" w:hAnsi="Arial"/>
          <w:color w:val="4A4A4A"/>
          <w:sz w:val="22"/>
          <w:szCs w:val="22"/>
        </w:rPr>
        <w:t xml:space="preserve">Each participant’s pathway progress is documented in three parallel systems that are designed to be mutually reinforcing. The physical Portfolio — a folder maintained by the participant and held at Erdpuls between visits — contains their Soil Explorer Field Sheets, pattern cards, Values-Action Maps, and Personal Quality Commitment cards from each session. The Token Ledger on the Stellar blockchain provides the verifiable, timestamped record of each completed milestone node. The Annual Pattern Language Assembly, held each January, synthesises the accumulated pathway traces of all participants from the preceding year into a coherent place-specific pattern language, making visible the collective knowledge that the individual pathways have generated together.</w:t>
      </w:r>
    </w:p>
    <w:p>
      <w:pPr>
        <w:pStyle w:val="Heading2"/>
        <w:pBdr>
          <w:bottom w:val="single" w:color="52B788" w:sz="4"/>
        </w:pBdr>
        <w:spacing w:before="280" w:after="140"/>
      </w:pPr>
      <w:r>
        <w:rPr>
          <w:rFonts w:ascii="Arial" w:cs="Arial" w:eastAsia="Arial" w:hAnsi="Arial"/>
          <w:b/>
          <w:bCs/>
          <w:color w:val="2D6A4F"/>
          <w:sz w:val="28"/>
          <w:szCs w:val="28"/>
        </w:rPr>
        <w:t xml:space="preserve">2.4 Capacity Building at Three Levels</w:t>
      </w:r>
    </w:p>
    <w:p>
      <w:pPr>
        <w:spacing w:before="80" w:after="120"/>
        <w:jc w:val="left"/>
      </w:pPr>
      <w:r>
        <w:rPr>
          <w:rFonts w:ascii="Arial" w:cs="Arial" w:eastAsia="Arial" w:hAnsi="Arial"/>
          <w:color w:val="4A4A4A"/>
          <w:sz w:val="22"/>
          <w:szCs w:val="22"/>
        </w:rPr>
        <w:t xml:space="preserve">The implementation strategy addresses capacity building at three levels simultaneously, because the VAG operates at all three. At the individual level, the pathway system makes each participant’s growing competency visible and provides the proximal milestones that sustain motivation across the slow arc of genuine behaviour change. At the facilitator level, the facilitator pathway makes the full development trajectory from participant to programme designer visible and navigable, with the Collective Threshold Model ensuring that financial means do not determine access. At the institutional level, the aggregated pathway trace data — from token ledgers, Values-Action Maps, and annual Pattern Language Assemblies — constitutes the longitudinal evidence base that allows Erdpuls to assess its own impact, improve its programme design, and demonstrate compliance with BNE quality criterion 5.2.3 (external impact evaluation) in Phase 3.</w:t>
      </w:r>
    </w:p>
    <w:p>
      <w:r>
        <w:br w:type="page"/>
      </w:r>
    </w:p>
    <w:p>
      <w:pPr>
        <w:pStyle w:val="Heading1"/>
        <w:spacing w:before="360" w:after="200"/>
      </w:pPr>
      <w:r>
        <w:rPr>
          <w:rFonts w:ascii="Arial" w:cs="Arial" w:eastAsia="Arial" w:hAnsi="Arial"/>
          <w:b/>
          <w:bCs/>
          <w:color w:val="1B4332"/>
          <w:sz w:val="36"/>
          <w:szCs w:val="36"/>
        </w:rPr>
        <w:t xml:space="preserve">Part 3 — Target Group Pathway Maps</w:t>
      </w:r>
    </w:p>
    <w:p>
      <w:pPr>
        <w:spacing w:before="80" w:after="120"/>
        <w:jc w:val="left"/>
      </w:pPr>
      <w:r>
        <w:rPr>
          <w:rFonts w:ascii="Arial" w:cs="Arial" w:eastAsia="Arial" w:hAnsi="Arial"/>
          <w:color w:val="4A4A4A"/>
          <w:sz w:val="22"/>
          <w:szCs w:val="22"/>
        </w:rPr>
        <w:t xml:space="preserve">The following five pathway maps are the operational heart of the Learning Pathway System. Each map shows the specific route available to one target group, from their particular entry conditions through four milestone stages aligned to the 4A-Pathway, toward the most advanced forms of engagement documented in the existing Erdpuls guides. Each map is followed by notes on convergence zones where this pathway meets those of other target groups.</w:t>
      </w:r>
    </w:p>
    <w:p>
      <w:pPr>
        <w:spacing w:before="80" w:after="120"/>
        <w:jc w:val="left"/>
      </w:pPr>
      <w:r>
        <w:rPr>
          <w:rFonts w:ascii="Arial" w:cs="Arial" w:eastAsia="Arial" w:hAnsi="Arial"/>
          <w:color w:val="4A4A4A"/>
          <w:sz w:val="22"/>
          <w:szCs w:val="22"/>
        </w:rPr>
        <w:t xml:space="preserve">All five maps share the same structural logic: four milestone nodes, each defined by a 4A stage, a core workshop experience, a concrete output or evidence artefact, a token economy integration, and a VAG bridge question that makes explicit the gap-closing work at that node.</w:t>
      </w:r>
    </w:p>
    <w:p>
      <w:pPr>
        <w:spacing w:before="80" w:after="120"/>
        <w:jc w:val="left"/>
      </w:pPr>
      <w:r>
        <w:rPr>
          <w:rFonts w:ascii="Arial" w:cs="Arial" w:eastAsia="Arial" w:hAnsi="Arial"/>
          <w:color w:val="8A8A8A"/>
          <w:sz w:val="22"/>
          <w:szCs w:val="22"/>
        </w:rPr>
        <w:t xml:space="preserve">Legend: Each pathway node is colour-coded by its primary 4A stage: AWARENESS (amber), ACKNOWLEDGMENT (terracotta), ATTITUDE (steel blue), ACTION (deep green).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D6A4F" w:val="clear"/>
            <w:tcMar>
              <w:top w:type="dxa" w:w="80"/>
              <w:left w:type="dxa" w:w="120"/>
              <w:bottom w:type="dxa" w:w="80"/>
              <w:right w:type="dxa" w:w="120"/>
            </w:tcMar>
          </w:tcPr>
          <w:p>
            <w:pPr>
              <w:spacing w:before="100" w:after="40"/>
              <w:jc w:val="center"/>
            </w:pPr>
            <w:r>
              <w:rPr>
                <w:rFonts w:ascii="Arial" w:cs="Arial" w:eastAsia="Arial" w:hAnsi="Arial"/>
                <w:b/>
                <w:bCs/>
                <w:color w:val="FFFFFF"/>
                <w:sz w:val="32"/>
                <w:szCs w:val="32"/>
              </w:rPr>
              <w:t xml:space="preserve">🌱  Target Group 1: Children &amp; Youth</w:t>
            </w:r>
          </w:p>
          <w:p>
            <w:pPr>
              <w:spacing w:before="80" w:after="100"/>
              <w:jc w:val="center"/>
            </w:pPr>
            <w:r>
              <w:rPr>
                <w:rFonts w:ascii="Arial" w:cs="Arial" w:eastAsia="Arial" w:hAnsi="Arial"/>
                <w:color w:val="B7E4C7"/>
                <w:sz w:val="22"/>
                <w:szCs w:val="22"/>
              </w:rPr>
              <w:t xml:space="preserve">Ages 8–18 | School classes, youth groups, informal learners</w:t>
            </w:r>
          </w:p>
        </w:tc>
      </w:tr>
    </w:tbl>
    <w:p>
      <w:pPr>
        <w:spacing w:before="40" w:after="40"/>
      </w:pPr>
      <w:r>
        <w:t xml:space="preserve"/>
      </w:r>
    </w:p>
    <w:p>
      <w:pPr>
        <w:pStyle w:val="Heading3"/>
        <w:spacing w:before="200" w:after="100"/>
      </w:pPr>
      <w:r>
        <w:rPr>
          <w:rFonts w:ascii="Arial" w:cs="Arial" w:eastAsia="Arial" w:hAnsi="Arial"/>
          <w:b/>
          <w:bCs/>
          <w:color w:val="2D6A4F"/>
          <w:sz w:val="24"/>
          <w:szCs w:val="24"/>
        </w:rPr>
        <w:t xml:space="preserve">Starting State &amp; Context</w:t>
      </w:r>
    </w:p>
    <w:p>
      <w:pPr>
        <w:spacing w:before="80" w:after="120"/>
        <w:jc w:val="left"/>
      </w:pPr>
      <w:r>
        <w:rPr>
          <w:rFonts w:ascii="Arial" w:cs="Arial" w:eastAsia="Arial" w:hAnsi="Arial"/>
          <w:color w:val="4A4A4A"/>
          <w:sz w:val="22"/>
          <w:szCs w:val="22"/>
        </w:rPr>
        <w:t xml:space="preserve">Children and youth arrive at Erdpuls with high sensory curiosity and low prior ecological knowledge. They are in the first and second of Steiner’s developmental phases: will-forces (ages 8–12) and awakening causal reasoning (ages 13–18). The VAG is not yet installed as a fixed gap between knowing and doing — it is forming. The pathway for this group is therefore designed to establish, from the very first encounter, a direct and embodied relationship between sensory experience and consequential action, before the learned helplessness of adult sustainability discourse can take hold.</w:t>
      </w:r>
    </w:p>
    <w:p>
      <w:pPr>
        <w:pStyle w:val="Heading4"/>
        <w:spacing w:before="160" w:after="80"/>
      </w:pPr>
      <w:r>
        <w:rPr>
          <w:rFonts w:ascii="Arial" w:cs="Arial" w:eastAsia="Arial" w:hAnsi="Arial"/>
          <w:b/>
          <w:bCs/>
          <w:color w:val="4A4A4A"/>
          <w:sz w:val="22"/>
          <w:szCs w:val="22"/>
        </w:rPr>
        <w:t xml:space="preserve">Competency Profile Emphasis</w:t>
      </w:r>
    </w:p>
    <w:p>
      <w:pPr>
        <w:spacing w:before="80" w:after="120"/>
        <w:jc w:val="left"/>
      </w:pPr>
      <w:r>
        <w:rPr>
          <w:rFonts w:ascii="Arial" w:cs="Arial" w:eastAsia="Arial" w:hAnsi="Arial"/>
          <w:color w:val="4A4A4A"/>
          <w:sz w:val="22"/>
          <w:szCs w:val="22"/>
        </w:rPr>
        <w:t xml:space="preserve">Environmental Literacy and Social-Emotional Learning are primary at entry; Scientific Inquiry and Technology Competence build progressively through the pathway; Economic Understanding is introduced through the Garden Economy Game and developed toward UBECrc design at the advanced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1800"/>
        <w:gridCol w:w="1800"/>
        <w:gridCol w:w="2520"/>
      </w:tblGrid>
      <w:tr>
        <w:trPr>
          <w:tblHeader/>
        </w:trPr>
        <w:tc>
          <w:tcPr>
            <w:tcW w:type="dxa" w:w="144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pPr>
              <w:spacing w:before="80" w:after="80"/>
              <w:jc w:val="left"/>
            </w:pPr>
            <w:r>
              <w:rPr>
                <w:rFonts w:ascii="Arial" w:cs="Arial" w:eastAsia="Arial" w:hAnsi="Arial"/>
                <w:b/>
                <w:bCs/>
                <w:color w:val="FFFFFF"/>
                <w:sz w:val="20"/>
                <w:szCs w:val="20"/>
              </w:rPr>
              <w:t xml:space="preserve">Stage &amp; Node</w:t>
            </w:r>
          </w:p>
        </w:tc>
        <w:tc>
          <w:tcPr>
            <w:tcW w:type="dxa" w:w="18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pPr>
              <w:spacing w:before="80" w:after="80"/>
              <w:jc w:val="left"/>
            </w:pPr>
            <w:r>
              <w:rPr>
                <w:rFonts w:ascii="Arial" w:cs="Arial" w:eastAsia="Arial" w:hAnsi="Arial"/>
                <w:b/>
                <w:bCs/>
                <w:color w:val="FFFFFF"/>
                <w:sz w:val="20"/>
                <w:szCs w:val="20"/>
              </w:rPr>
              <w:t xml:space="preserve">Entry Condition</w:t>
            </w:r>
          </w:p>
        </w:tc>
        <w:tc>
          <w:tcPr>
            <w:tcW w:type="dxa" w:w="18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pPr>
              <w:spacing w:before="80" w:after="80"/>
              <w:jc w:val="left"/>
            </w:pPr>
            <w:r>
              <w:rPr>
                <w:rFonts w:ascii="Arial" w:cs="Arial" w:eastAsia="Arial" w:hAnsi="Arial"/>
                <w:b/>
                <w:bCs/>
                <w:color w:val="FFFFFF"/>
                <w:sz w:val="20"/>
                <w:szCs w:val="20"/>
              </w:rPr>
              <w:t xml:space="preserve">Core Experience</w:t>
            </w:r>
          </w:p>
        </w:tc>
        <w:tc>
          <w:tcPr>
            <w:tcW w:type="dxa" w:w="18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pPr>
              <w:spacing w:before="80" w:after="80"/>
              <w:jc w:val="left"/>
            </w:pPr>
            <w:r>
              <w:rPr>
                <w:rFonts w:ascii="Arial" w:cs="Arial" w:eastAsia="Arial" w:hAnsi="Arial"/>
                <w:b/>
                <w:bCs/>
                <w:color w:val="FFFFFF"/>
                <w:sz w:val="20"/>
                <w:szCs w:val="20"/>
              </w:rPr>
              <w:t xml:space="preserve">Output / Evidence</w:t>
            </w:r>
          </w:p>
        </w:tc>
        <w:tc>
          <w:tcPr>
            <w:tcW w:type="dxa" w:w="252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pPr>
              <w:spacing w:before="80" w:after="80"/>
              <w:jc w:val="left"/>
            </w:pPr>
            <w:r>
              <w:rPr>
                <w:rFonts w:ascii="Arial" w:cs="Arial" w:eastAsia="Arial" w:hAnsi="Arial"/>
                <w:b/>
                <w:bCs/>
                <w:color w:val="FFFFFF"/>
                <w:sz w:val="20"/>
                <w:szCs w:val="20"/>
              </w:rPr>
              <w:t xml:space="preserve">Token &amp; VAG Bridge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hd w:fill="F4A261" w:val="clear"/>
              <w:spacing w:before="40" w:after="40"/>
              <w:jc w:val="center"/>
            </w:pPr>
            <w:r>
              <w:rPr>
                <w:rFonts w:ascii="Arial" w:cs="Arial" w:eastAsia="Arial" w:hAnsi="Arial"/>
                <w:b/>
                <w:bCs/>
                <w:color w:val="FFFFFF"/>
                <w:sz w:val="18"/>
                <w:szCs w:val="18"/>
              </w:rPr>
              <w:t xml:space="preserve">AWARENESS</w:t>
            </w:r>
          </w:p>
          <w:p>
            <w:pPr>
              <w:spacing w:before="80" w:after="80"/>
              <w:jc w:val="left"/>
            </w:pPr>
            <w:r>
              <w:rPr>
                <w:rFonts w:ascii="Arial" w:cs="Arial" w:eastAsia="Arial" w:hAnsi="Arial"/>
                <w:b/>
                <w:bCs/>
                <w:color w:val="4A4A4A"/>
                <w:sz w:val="20"/>
                <w:szCs w:val="20"/>
              </w:rPr>
              <w:t xml:space="preserve">Node 1
First Contact with Living Soil</w:t>
            </w:r>
          </w:p>
        </w:tc>
        <w:tc>
          <w:tcPr>
            <w:tcW w:type="dxa" w:w="180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No prior visit; first encounter with Erdpuls campus and Zone B soil laboratory</w:t>
            </w:r>
          </w:p>
        </w:tc>
        <w:tc>
          <w:tcPr>
            <w:tcW w:type="dxa" w:w="180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Ring 0 body calibration; Tier 1 sensory soil encounter (touch, smell, colour, texture); Life Count (organisms per m²); Mystery Soil challenge; Soil Explorer Field Sheet</w:t>
            </w:r>
          </w:p>
        </w:tc>
        <w:tc>
          <w:tcPr>
            <w:tcW w:type="dxa" w:w="180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Completed Soil Explorer Field Sheet; photographic record of soil profile; oral Life Count</w:t>
            </w:r>
          </w:p>
        </w:tc>
        <w:tc>
          <w:tcPr>
            <w:tcW w:type="dxa" w:w="252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Cooperation token for group Life Count
VAG Bridge: "You just counted 12 organisms. When did you last think about soil being alive? What would change if you thought about it every day?"</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hd w:fill="E76F51" w:val="clear"/>
              <w:spacing w:before="40" w:after="40"/>
              <w:jc w:val="center"/>
            </w:pPr>
            <w:r>
              <w:rPr>
                <w:rFonts w:ascii="Arial" w:cs="Arial" w:eastAsia="Arial" w:hAnsi="Arial"/>
                <w:b/>
                <w:bCs/>
                <w:color w:val="FFFFFF"/>
                <w:sz w:val="18"/>
                <w:szCs w:val="18"/>
              </w:rPr>
              <w:t xml:space="preserve">ACKNOWLEDGMENT</w:t>
            </w:r>
          </w:p>
          <w:p>
            <w:pPr>
              <w:spacing w:before="80" w:after="80"/>
              <w:jc w:val="left"/>
            </w:pPr>
            <w:r>
              <w:rPr>
                <w:rFonts w:ascii="Arial" w:cs="Arial" w:eastAsia="Arial" w:hAnsi="Arial"/>
                <w:b/>
                <w:bCs/>
                <w:color w:val="4A4A4A"/>
                <w:sz w:val="20"/>
                <w:szCs w:val="20"/>
              </w:rPr>
              <w:t xml:space="preserve">Node 2
From Campus to Planet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Has completed Node 1; returns to same soil patch in a different season OR participates in iNaturalist upload session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Tier 2 tool introduction (pH strips, thermometer, ribbon test); sensor dialogue (Mein Wert vs. Sensor-Wert); iNaturalist species upload; openSenseMap data entry; connection to global open dataset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Verified iNaturalist observations; openSenseMap data point linked to participant; pattern card for one named campus pattern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Mutualism token for iNaturalist contribution (benefit extends to global biodiversity science)
VAG Bridge: "Your observation is now searchable by a scientist in another country. What else do you know that no one has recorded?"</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hd w:fill="457B9D" w:val="clear"/>
              <w:spacing w:before="40" w:after="40"/>
              <w:jc w:val="center"/>
            </w:pPr>
            <w:r>
              <w:rPr>
                <w:rFonts w:ascii="Arial" w:cs="Arial" w:eastAsia="Arial" w:hAnsi="Arial"/>
                <w:b/>
                <w:bCs/>
                <w:color w:val="FFFFFF"/>
                <w:sz w:val="18"/>
                <w:szCs w:val="18"/>
              </w:rPr>
              <w:t xml:space="preserve">ATTITUDE</w:t>
            </w:r>
          </w:p>
          <w:p>
            <w:pPr>
              <w:spacing w:before="80" w:after="80"/>
              <w:jc w:val="left"/>
            </w:pPr>
            <w:r>
              <w:rPr>
                <w:rFonts w:ascii="Arial" w:cs="Arial" w:eastAsia="Arial" w:hAnsi="Arial"/>
                <w:b/>
                <w:bCs/>
                <w:color w:val="4A4A4A"/>
                <w:sz w:val="20"/>
                <w:szCs w:val="20"/>
              </w:rPr>
              <w:t xml:space="preserve">Node 3
Economy as Ecology</w:t>
            </w:r>
          </w:p>
        </w:tc>
        <w:tc>
          <w:tcPr>
            <w:tcW w:type="dxa" w:w="180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Has completed Node 2; ready for values-level engagement with economic frameworks</w:t>
            </w:r>
          </w:p>
        </w:tc>
        <w:tc>
          <w:tcPr>
            <w:tcW w:type="dxa" w:w="180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Garden Economy Game (Round 1: market economy / Round 2: token economy); four-element discussion; bioregion boundary deliberation; Values-Action Map first use (age-appropriate version)</w:t>
            </w:r>
          </w:p>
        </w:tc>
        <w:tc>
          <w:tcPr>
            <w:tcW w:type="dxa" w:w="180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Token card set from Garden Economy Game; one named bioregion boundary proposal; first Values-Action Map</w:t>
            </w:r>
          </w:p>
        </w:tc>
        <w:tc>
          <w:tcPr>
            <w:tcW w:type="dxa" w:w="252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Reciprocity token for bidirectional exchange in Round 2
VAG Bridge: "Round 2 felt different in your body. What was different? If your school ran on Round 2 rules, what would change tomorrow?"</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hd w:fill="1B4332" w:val="clear"/>
              <w:spacing w:before="40" w:after="40"/>
              <w:jc w:val="center"/>
            </w:pPr>
            <w:r>
              <w:rPr>
                <w:rFonts w:ascii="Arial" w:cs="Arial" w:eastAsia="Arial" w:hAnsi="Arial"/>
                <w:b/>
                <w:bCs/>
                <w:color w:val="FFFFFF"/>
                <w:sz w:val="18"/>
                <w:szCs w:val="18"/>
              </w:rPr>
              <w:t xml:space="preserve">ACTION</w:t>
            </w:r>
          </w:p>
          <w:p>
            <w:pPr>
              <w:spacing w:before="80" w:after="80"/>
              <w:jc w:val="left"/>
            </w:pPr>
            <w:r>
              <w:rPr>
                <w:rFonts w:ascii="Arial" w:cs="Arial" w:eastAsia="Arial" w:hAnsi="Arial"/>
                <w:b/>
                <w:bCs/>
                <w:color w:val="4A4A4A"/>
                <w:sz w:val="20"/>
                <w:szCs w:val="20"/>
              </w:rPr>
              <w:t xml:space="preserve">Node 4
From Learner to Contributor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Has completed Nodes 1–3; capable of leading a component of a session for a younger group OR designing an investigation question from their own data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Student facilitator role in a Node 1 session for a younger class; OR: independent research question design with senseBox MCU; OR: full-season longitudinal soil dataset contribution to Erdpuls commons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Facilitation evaluation by supervising facilitator; OR: documented research question with preliminary data; OR: seasonal dataset in openSenseMap with narrative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Regeneration token for facilitator role or longitudinal data contribution
VAG Bridge: "You have now taught someone else. What changed in your own understanding when you had to explain it? What do you want to investigate next season?"</w:t>
            </w:r>
          </w:p>
        </w:tc>
      </w:tr>
    </w:tbl>
    <w:p>
      <w:pPr>
        <w:spacing w:before="40" w:after="40"/>
      </w:pPr>
      <w:r>
        <w:t xml:space="preserve"/>
      </w:r>
    </w:p>
    <w:p>
      <w:pPr>
        <w:pStyle w:val="Heading4"/>
        <w:spacing w:before="160" w:after="80"/>
      </w:pPr>
      <w:r>
        <w:rPr>
          <w:rFonts w:ascii="Arial" w:cs="Arial" w:eastAsia="Arial" w:hAnsi="Arial"/>
          <w:b/>
          <w:bCs/>
          <w:color w:val="4A4A4A"/>
          <w:sz w:val="22"/>
          <w:szCs w:val="22"/>
        </w:rPr>
        <w:t xml:space="preserve">Convergence Zones</w:t>
      </w:r>
    </w:p>
    <w:p>
      <w:pPr>
        <w:spacing w:before="80" w:after="120"/>
        <w:jc w:val="left"/>
      </w:pPr>
      <w:r>
        <w:rPr>
          <w:rFonts w:ascii="Arial" w:cs="Arial" w:eastAsia="Arial" w:hAnsi="Arial"/>
          <w:color w:val="4A4A4A"/>
          <w:sz w:val="22"/>
          <w:szCs w:val="22"/>
        </w:rPr>
        <w:t xml:space="preserve">Node 2 (iNaturalist upload) produces data that the Artist-in-Residence (Target Group 4) uses in their pattern documentation — creating a direct Mutualism token flow from children to researchers. Node 4 (student facilitator) places children in cross-age contact with Elders &amp; Intergenerational Groups (Target Group 3) during joint sessions, generating intergenerational Reciprocity tokens. The seasonal observational cycle means the school class’s spring Node 1 data becomes the reference baseline for the adult group’s summer Node 2 investigation.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D6A4F" w:val="clear"/>
            <w:tcMar>
              <w:top w:type="dxa" w:w="80"/>
              <w:left w:type="dxa" w:w="120"/>
              <w:bottom w:type="dxa" w:w="80"/>
              <w:right w:type="dxa" w:w="120"/>
            </w:tcMar>
          </w:tcPr>
          <w:p>
            <w:pPr>
              <w:spacing w:before="100" w:after="40"/>
              <w:jc w:val="center"/>
            </w:pPr>
            <w:r>
              <w:rPr>
                <w:rFonts w:ascii="Arial" w:cs="Arial" w:eastAsia="Arial" w:hAnsi="Arial"/>
                <w:b/>
                <w:bCs/>
                <w:color w:val="FFFFFF"/>
                <w:sz w:val="32"/>
                <w:szCs w:val="32"/>
              </w:rPr>
              <w:t xml:space="preserve">🌿  Target Group 2: Adults &amp; Families</w:t>
            </w:r>
          </w:p>
          <w:p>
            <w:pPr>
              <w:spacing w:before="80" w:after="100"/>
              <w:jc w:val="center"/>
            </w:pPr>
            <w:r>
              <w:rPr>
                <w:rFonts w:ascii="Arial" w:cs="Arial" w:eastAsia="Arial" w:hAnsi="Arial"/>
                <w:color w:val="B7E4C7"/>
                <w:sz w:val="22"/>
                <w:szCs w:val="22"/>
              </w:rPr>
              <w:t xml:space="preserve">Ages 18+ | Mixed-age community participants, families, informal adult learners</w:t>
            </w:r>
          </w:p>
        </w:tc>
      </w:tr>
    </w:tbl>
    <w:p>
      <w:pPr>
        <w:spacing w:before="40" w:after="40"/>
      </w:pPr>
      <w:r>
        <w:t xml:space="preserve"/>
      </w:r>
    </w:p>
    <w:p>
      <w:pPr>
        <w:pStyle w:val="Heading3"/>
        <w:spacing w:before="200" w:after="100"/>
      </w:pPr>
      <w:r>
        <w:rPr>
          <w:rFonts w:ascii="Arial" w:cs="Arial" w:eastAsia="Arial" w:hAnsi="Arial"/>
          <w:b/>
          <w:bCs/>
          <w:color w:val="2D6A4F"/>
          <w:sz w:val="24"/>
          <w:szCs w:val="24"/>
        </w:rPr>
        <w:t xml:space="preserve">Starting State &amp; Context</w:t>
      </w:r>
    </w:p>
    <w:p>
      <w:pPr>
        <w:spacing w:before="80" w:after="120"/>
        <w:jc w:val="left"/>
      </w:pPr>
      <w:r>
        <w:rPr>
          <w:rFonts w:ascii="Arial" w:cs="Arial" w:eastAsia="Arial" w:hAnsi="Arial"/>
          <w:color w:val="4A4A4A"/>
          <w:sz w:val="22"/>
          <w:szCs w:val="22"/>
        </w:rPr>
        <w:t xml:space="preserve">Adults and families arrive with the VAG already installed: they know, intellectually, that they should consume less, drive less, waste less. The gap is not a knowledge problem; it is a motivation, habit, and systemic problem. Adults also arrive with practical life knowledge — of gardening, cooking, repair, local history — that is precisely the kind of knowledge the Erdpuls programme needs and honours. The adult pathway is designed to make this existing knowledge visible and valued before new frameworks are introduced, creating the epistemic respect that adult learning requires.</w:t>
      </w:r>
    </w:p>
    <w:p>
      <w:pPr>
        <w:pStyle w:val="Heading4"/>
        <w:spacing w:before="160" w:after="80"/>
      </w:pPr>
      <w:r>
        <w:rPr>
          <w:rFonts w:ascii="Arial" w:cs="Arial" w:eastAsia="Arial" w:hAnsi="Arial"/>
          <w:b/>
          <w:bCs/>
          <w:color w:val="4A4A4A"/>
          <w:sz w:val="22"/>
          <w:szCs w:val="22"/>
        </w:rPr>
        <w:t xml:space="preserve">Competency Profile Emphasis</w:t>
      </w:r>
    </w:p>
    <w:p>
      <w:pPr>
        <w:spacing w:before="80" w:after="120"/>
        <w:jc w:val="left"/>
      </w:pPr>
      <w:r>
        <w:rPr>
          <w:rFonts w:ascii="Arial" w:cs="Arial" w:eastAsia="Arial" w:hAnsi="Arial"/>
          <w:color w:val="4A4A4A"/>
          <w:sz w:val="22"/>
          <w:szCs w:val="22"/>
        </w:rPr>
        <w:t xml:space="preserve">Economic Understanding and Social-Emotional Learning are primary for this group, particularly around the Values-Action Map, the Repair Café, and the token economy. Scientific Inquiry deepens through the full sensor dialogue protocol. Environmental Literacy is engaged through the comparative dimension — adults’ home gardens and local knowledge are treated as data from the 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1800"/>
        <w:gridCol w:w="1800"/>
        <w:gridCol w:w="2520"/>
      </w:tblGrid>
      <w:tr>
        <w:trPr>
          <w:tblHeader/>
        </w:trPr>
        <w:tc>
          <w:tcPr>
            <w:tcW w:type="dxa" w:w="144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pPr>
              <w:spacing w:before="80" w:after="80"/>
              <w:jc w:val="left"/>
            </w:pPr>
            <w:r>
              <w:rPr>
                <w:rFonts w:ascii="Arial" w:cs="Arial" w:eastAsia="Arial" w:hAnsi="Arial"/>
                <w:b/>
                <w:bCs/>
                <w:color w:val="FFFFFF"/>
                <w:sz w:val="20"/>
                <w:szCs w:val="20"/>
              </w:rPr>
              <w:t xml:space="preserve">Stage &amp; Node</w:t>
            </w:r>
          </w:p>
        </w:tc>
        <w:tc>
          <w:tcPr>
            <w:tcW w:type="dxa" w:w="18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pPr>
              <w:spacing w:before="80" w:after="80"/>
              <w:jc w:val="left"/>
            </w:pPr>
            <w:r>
              <w:rPr>
                <w:rFonts w:ascii="Arial" w:cs="Arial" w:eastAsia="Arial" w:hAnsi="Arial"/>
                <w:b/>
                <w:bCs/>
                <w:color w:val="FFFFFF"/>
                <w:sz w:val="20"/>
                <w:szCs w:val="20"/>
              </w:rPr>
              <w:t xml:space="preserve">Entry Condition</w:t>
            </w:r>
          </w:p>
        </w:tc>
        <w:tc>
          <w:tcPr>
            <w:tcW w:type="dxa" w:w="18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pPr>
              <w:spacing w:before="80" w:after="80"/>
              <w:jc w:val="left"/>
            </w:pPr>
            <w:r>
              <w:rPr>
                <w:rFonts w:ascii="Arial" w:cs="Arial" w:eastAsia="Arial" w:hAnsi="Arial"/>
                <w:b/>
                <w:bCs/>
                <w:color w:val="FFFFFF"/>
                <w:sz w:val="20"/>
                <w:szCs w:val="20"/>
              </w:rPr>
              <w:t xml:space="preserve">Core Experience</w:t>
            </w:r>
          </w:p>
        </w:tc>
        <w:tc>
          <w:tcPr>
            <w:tcW w:type="dxa" w:w="18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pPr>
              <w:spacing w:before="80" w:after="80"/>
              <w:jc w:val="left"/>
            </w:pPr>
            <w:r>
              <w:rPr>
                <w:rFonts w:ascii="Arial" w:cs="Arial" w:eastAsia="Arial" w:hAnsi="Arial"/>
                <w:b/>
                <w:bCs/>
                <w:color w:val="FFFFFF"/>
                <w:sz w:val="20"/>
                <w:szCs w:val="20"/>
              </w:rPr>
              <w:t xml:space="preserve">Output / Evidence</w:t>
            </w:r>
          </w:p>
        </w:tc>
        <w:tc>
          <w:tcPr>
            <w:tcW w:type="dxa" w:w="252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pPr>
              <w:spacing w:before="80" w:after="80"/>
              <w:jc w:val="left"/>
            </w:pPr>
            <w:r>
              <w:rPr>
                <w:rFonts w:ascii="Arial" w:cs="Arial" w:eastAsia="Arial" w:hAnsi="Arial"/>
                <w:b/>
                <w:bCs/>
                <w:color w:val="FFFFFF"/>
                <w:sz w:val="20"/>
                <w:szCs w:val="20"/>
              </w:rPr>
              <w:t xml:space="preserve">Token &amp; VAG Bridge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hd w:fill="F4A261" w:val="clear"/>
              <w:spacing w:before="40" w:after="40"/>
              <w:jc w:val="center"/>
            </w:pPr>
            <w:r>
              <w:rPr>
                <w:rFonts w:ascii="Arial" w:cs="Arial" w:eastAsia="Arial" w:hAnsi="Arial"/>
                <w:b/>
                <w:bCs/>
                <w:color w:val="FFFFFF"/>
                <w:sz w:val="18"/>
                <w:szCs w:val="18"/>
              </w:rPr>
              <w:t xml:space="preserve">AWARENESS</w:t>
            </w:r>
          </w:p>
          <w:p>
            <w:pPr>
              <w:spacing w:before="80" w:after="80"/>
              <w:jc w:val="left"/>
            </w:pPr>
            <w:r>
              <w:rPr>
                <w:rFonts w:ascii="Arial" w:cs="Arial" w:eastAsia="Arial" w:hAnsi="Arial"/>
                <w:b/>
                <w:bCs/>
                <w:color w:val="4A4A4A"/>
                <w:sz w:val="20"/>
                <w:szCs w:val="20"/>
              </w:rPr>
              <w:t xml:space="preserve">Node 1
Sensory Re-entry</w:t>
            </w:r>
          </w:p>
        </w:tc>
        <w:tc>
          <w:tcPr>
            <w:tcW w:type="dxa" w:w="180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Community member, first Erdpuls visit; possible prior awareness of sustainability issues</w:t>
            </w:r>
          </w:p>
        </w:tc>
        <w:tc>
          <w:tcPr>
            <w:tcW w:type="dxa" w:w="180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Full ring sequence (Rings 0–4); Goethean observation protocol; Soil Explorer Notebook; sensor dialogue (Tier 1 → Tier 2); Ring 3 oral history prompt (what has changed in this landscape in your lifetime?)</w:t>
            </w:r>
          </w:p>
        </w:tc>
        <w:tc>
          <w:tcPr>
            <w:tcW w:type="dxa" w:w="180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Completed Soil Explorer Notebook; Ring 3 landscape memory record; first Mein Wert / Sensor-Wert comparison journal entry</w:t>
            </w:r>
          </w:p>
        </w:tc>
        <w:tc>
          <w:tcPr>
            <w:tcW w:type="dxa" w:w="252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Cooperation token for group ring walk
VAG Bridge: "You estimated the soil temperature correctly within 2 degrees. When did you learn that? What else do you know that you have forgotten you know?"</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hd w:fill="E76F51" w:val="clear"/>
              <w:spacing w:before="40" w:after="40"/>
              <w:jc w:val="center"/>
            </w:pPr>
            <w:r>
              <w:rPr>
                <w:rFonts w:ascii="Arial" w:cs="Arial" w:eastAsia="Arial" w:hAnsi="Arial"/>
                <w:b/>
                <w:bCs/>
                <w:color w:val="FFFFFF"/>
                <w:sz w:val="18"/>
                <w:szCs w:val="18"/>
              </w:rPr>
              <w:t xml:space="preserve">ACKNOWLEDGMENT</w:t>
            </w:r>
          </w:p>
          <w:p>
            <w:pPr>
              <w:spacing w:before="80" w:after="80"/>
              <w:jc w:val="left"/>
            </w:pPr>
            <w:r>
              <w:rPr>
                <w:rFonts w:ascii="Arial" w:cs="Arial" w:eastAsia="Arial" w:hAnsi="Arial"/>
                <w:b/>
                <w:bCs/>
                <w:color w:val="4A4A4A"/>
                <w:sz w:val="20"/>
                <w:szCs w:val="20"/>
              </w:rPr>
              <w:t xml:space="preserve">Node 2
Seeing What We Already Exchange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Has completed Node 1; ready to engage the economic dimension of daily life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"Seeing What We Already Exchange" token economy workshop; mapping of non-monetary exchanges already present in daily life (skills, food, time, knowledge); four-element identification in own exchanges; Values-Action Map (full adult version)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Personal exchange map (A3, visual); Values-Action Map (what I know / what I do / what stands between); Cooperation and Reciprocity tokens for workshop participation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Reciprocity token for bidirectional exchange mapping
VAG Bridge: "Three exchanges appeared on your map that you never thought of as economic before. Which of those would disappear if they had to be paid for?"</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hd w:fill="457B9D" w:val="clear"/>
              <w:spacing w:before="40" w:after="40"/>
              <w:jc w:val="center"/>
            </w:pPr>
            <w:r>
              <w:rPr>
                <w:rFonts w:ascii="Arial" w:cs="Arial" w:eastAsia="Arial" w:hAnsi="Arial"/>
                <w:b/>
                <w:bCs/>
                <w:color w:val="FFFFFF"/>
                <w:sz w:val="18"/>
                <w:szCs w:val="18"/>
              </w:rPr>
              <w:t xml:space="preserve">ATTITUDE</w:t>
            </w:r>
          </w:p>
          <w:p>
            <w:pPr>
              <w:spacing w:before="80" w:after="80"/>
              <w:jc w:val="left"/>
            </w:pPr>
            <w:r>
              <w:rPr>
                <w:rFonts w:ascii="Arial" w:cs="Arial" w:eastAsia="Arial" w:hAnsi="Arial"/>
                <w:b/>
                <w:bCs/>
                <w:color w:val="4A4A4A"/>
                <w:sz w:val="20"/>
                <w:szCs w:val="20"/>
              </w:rPr>
              <w:t xml:space="preserve">Node 3
Values in Space</w:t>
            </w:r>
          </w:p>
        </w:tc>
        <w:tc>
          <w:tcPr>
            <w:tcW w:type="dxa" w:w="180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Has completed Node 2; ready for values-level engagement and bioregional framing</w:t>
            </w:r>
          </w:p>
        </w:tc>
        <w:tc>
          <w:tcPr>
            <w:tcW w:type="dxa" w:w="180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Bioregion boundary deliberation (Ring 4, walking transect); home garden comparison dataset (own garden data entered into Erdpuls commons); Personal Quality Commitment card; Repair Café first participation as learner/fixer</w:t>
            </w:r>
          </w:p>
        </w:tc>
        <w:tc>
          <w:tcPr>
            <w:tcW w:type="dxa" w:w="180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GPS transect data for bioregion boundary; home garden soil data in Erdpuls longitudinal record; Personal Quality Commitment card; repaired object documentation</w:t>
            </w:r>
          </w:p>
        </w:tc>
        <w:tc>
          <w:tcPr>
            <w:tcW w:type="dxa" w:w="252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Mutualism token for home garden data contribution; Regeneration token for Repair Café repair
VAG Bridge: "Your garden data shows the same pH shift we see in Zone B after rain. You have been monitoring soil without knowing it. What else might qualify as citizen science in your daily life?"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hd w:fill="1B4332" w:val="clear"/>
              <w:spacing w:before="40" w:after="40"/>
              <w:jc w:val="center"/>
            </w:pPr>
            <w:r>
              <w:rPr>
                <w:rFonts w:ascii="Arial" w:cs="Arial" w:eastAsia="Arial" w:hAnsi="Arial"/>
                <w:b/>
                <w:bCs/>
                <w:color w:val="FFFFFF"/>
                <w:sz w:val="18"/>
                <w:szCs w:val="18"/>
              </w:rPr>
              <w:t xml:space="preserve">ACTION</w:t>
            </w:r>
          </w:p>
          <w:p>
            <w:pPr>
              <w:spacing w:before="80" w:after="80"/>
              <w:jc w:val="left"/>
            </w:pPr>
            <w:r>
              <w:rPr>
                <w:rFonts w:ascii="Arial" w:cs="Arial" w:eastAsia="Arial" w:hAnsi="Arial"/>
                <w:b/>
                <w:bCs/>
                <w:color w:val="4A4A4A"/>
                <w:sz w:val="20"/>
                <w:szCs w:val="20"/>
              </w:rPr>
              <w:t xml:space="preserve">Node 4
Token Holder &amp; Community Anchor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Has completed Nodes 1–3; ready to take an active programme role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Token Holder status activation; Repair Café facilitator role (with training); seasonal summary session participation; Personal Quality Commitment review; optional: co-facilitator in adult Node 1 sessions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Active token holder account on Stellar; documented Repair Café facilitation; season-end Values-Action Map comparison (showing movement between seasons)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Regeneration token for Repair Café facilitation; Mutualism token for season-end data contribution to programme evaluation
VAG Bridge: "Compare your Values-Action Map from Node 2 with this one. What actually moved? What is still in the right column? Design one specific action for next season that targets the most stubborn gap."</w:t>
            </w:r>
          </w:p>
        </w:tc>
      </w:tr>
    </w:tbl>
    <w:p>
      <w:pPr>
        <w:spacing w:before="40" w:after="40"/>
      </w:pPr>
      <w:r>
        <w:t xml:space="preserve"/>
      </w:r>
    </w:p>
    <w:p>
      <w:pPr>
        <w:pStyle w:val="Heading4"/>
        <w:spacing w:before="160" w:after="80"/>
      </w:pPr>
      <w:r>
        <w:rPr>
          <w:rFonts w:ascii="Arial" w:cs="Arial" w:eastAsia="Arial" w:hAnsi="Arial"/>
          <w:b/>
          <w:bCs/>
          <w:color w:val="4A4A4A"/>
          <w:sz w:val="22"/>
          <w:szCs w:val="22"/>
        </w:rPr>
        <w:t xml:space="preserve">Convergence Zones</w:t>
      </w:r>
    </w:p>
    <w:p>
      <w:pPr>
        <w:spacing w:before="80" w:after="120"/>
        <w:jc w:val="left"/>
      </w:pPr>
      <w:r>
        <w:rPr>
          <w:rFonts w:ascii="Arial" w:cs="Arial" w:eastAsia="Arial" w:hAnsi="Arial"/>
          <w:color w:val="4A4A4A"/>
          <w:sz w:val="22"/>
          <w:szCs w:val="22"/>
        </w:rPr>
        <w:t xml:space="preserve">Node 3 home garden data contributes directly to the longitudinal bioregion dataset used by Artists &amp; Researchers (Target Group 4) in their pattern documentation. The Repair Café facilitator role (Node 4) creates regular intergenerational contact with Elders &amp; Intergenerational Groups (Target Group 3), generating Reciprocity tokens for knowledge exchange in both directions. The token holder community is the primary social infrastructure for cross-group convergence at the annual Pattern Language Assembly.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D6A4F" w:val="clear"/>
            <w:tcMar>
              <w:top w:type="dxa" w:w="80"/>
              <w:left w:type="dxa" w:w="120"/>
              <w:bottom w:type="dxa" w:w="80"/>
              <w:right w:type="dxa" w:w="120"/>
            </w:tcMar>
          </w:tcPr>
          <w:p>
            <w:pPr>
              <w:spacing w:before="100" w:after="40"/>
              <w:jc w:val="center"/>
            </w:pPr>
            <w:r>
              <w:rPr>
                <w:rFonts w:ascii="Arial" w:cs="Arial" w:eastAsia="Arial" w:hAnsi="Arial"/>
                <w:b/>
                <w:bCs/>
                <w:color w:val="FFFFFF"/>
                <w:sz w:val="32"/>
                <w:szCs w:val="32"/>
              </w:rPr>
              <w:t xml:space="preserve">🧠  Target Group 3: Elders &amp; Intergenerational Groups</w:t>
            </w:r>
          </w:p>
          <w:p>
            <w:pPr>
              <w:spacing w:before="80" w:after="100"/>
              <w:jc w:val="center"/>
            </w:pPr>
            <w:r>
              <w:rPr>
                <w:rFonts w:ascii="Arial" w:cs="Arial" w:eastAsia="Arial" w:hAnsi="Arial"/>
                <w:color w:val="B7E4C7"/>
                <w:sz w:val="22"/>
                <w:szCs w:val="22"/>
              </w:rPr>
              <w:t xml:space="preserve">Ages 60+ | Wisdom Circles, Memory Markets, mixed-age intergenerational sessions</w:t>
            </w:r>
          </w:p>
        </w:tc>
      </w:tr>
    </w:tbl>
    <w:p>
      <w:pPr>
        <w:spacing w:before="40" w:after="40"/>
      </w:pPr>
      <w:r>
        <w:t xml:space="preserve"/>
      </w:r>
    </w:p>
    <w:p>
      <w:pPr>
        <w:pStyle w:val="Heading3"/>
        <w:spacing w:before="200" w:after="100"/>
      </w:pPr>
      <w:r>
        <w:rPr>
          <w:rFonts w:ascii="Arial" w:cs="Arial" w:eastAsia="Arial" w:hAnsi="Arial"/>
          <w:b/>
          <w:bCs/>
          <w:color w:val="2D6A4F"/>
          <w:sz w:val="24"/>
          <w:szCs w:val="24"/>
        </w:rPr>
        <w:t xml:space="preserve">Starting State &amp; Context</w:t>
      </w:r>
    </w:p>
    <w:p>
      <w:pPr>
        <w:spacing w:before="80" w:after="120"/>
        <w:jc w:val="left"/>
      </w:pPr>
      <w:r>
        <w:rPr>
          <w:rFonts w:ascii="Arial" w:cs="Arial" w:eastAsia="Arial" w:hAnsi="Arial"/>
          <w:color w:val="4A4A4A"/>
          <w:sz w:val="22"/>
          <w:szCs w:val="22"/>
        </w:rPr>
        <w:t xml:space="preserve">Elders arrive with something that no other target group possesses: direct, lived memory of the landscape as it was. In a sub-bioregion that has undergone radical transformation — DDR collectivisation, post-reunification land use shifts, decades of ecological change — elder memory is not anecdotal; it is primary research data. The pathway for this group is designed to honour this knowledge from the very first encounter, to make it legible as ecological science, and to create the intergenerational structures through which it flows to younger groups. The VAG for elders often takes a particular form: they have a rich sense of what has been lost and a sense of powerlessness about whether their knowledge can matter. The pathway is designed to convert this knowledge into consequential contribution.</w:t>
      </w:r>
    </w:p>
    <w:p>
      <w:pPr>
        <w:pStyle w:val="Heading4"/>
        <w:spacing w:before="160" w:after="80"/>
      </w:pPr>
      <w:r>
        <w:rPr>
          <w:rFonts w:ascii="Arial" w:cs="Arial" w:eastAsia="Arial" w:hAnsi="Arial"/>
          <w:b/>
          <w:bCs/>
          <w:color w:val="4A4A4A"/>
          <w:sz w:val="22"/>
          <w:szCs w:val="22"/>
        </w:rPr>
        <w:t xml:space="preserve">Competency Profile Emphasis</w:t>
      </w:r>
    </w:p>
    <w:p>
      <w:pPr>
        <w:spacing w:before="80" w:after="120"/>
        <w:jc w:val="left"/>
      </w:pPr>
      <w:r>
        <w:rPr>
          <w:rFonts w:ascii="Arial" w:cs="Arial" w:eastAsia="Arial" w:hAnsi="Arial"/>
          <w:color w:val="4A4A4A"/>
          <w:sz w:val="22"/>
          <w:szCs w:val="22"/>
        </w:rPr>
        <w:t xml:space="preserve">Environmental Literacy (historical-ecological) and Social-Emotional Learning (intergenerational knowledge transfer, relational competence) are primary. Scientific Inquiry is engaged through the Elder Memory Map protocol, which treats oral testimony as data to be documented, verified, and archived. Economic Understanding is engaged through the Memory Market workshop format, where elder knowledge is the primary currency.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1800"/>
        <w:gridCol w:w="1800"/>
        <w:gridCol w:w="2520"/>
      </w:tblGrid>
      <w:tr>
        <w:trPr>
          <w:tblHeader/>
        </w:trPr>
        <w:tc>
          <w:tcPr>
            <w:tcW w:type="dxa" w:w="144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pPr>
              <w:spacing w:before="80" w:after="80"/>
              <w:jc w:val="left"/>
            </w:pPr>
            <w:r>
              <w:rPr>
                <w:rFonts w:ascii="Arial" w:cs="Arial" w:eastAsia="Arial" w:hAnsi="Arial"/>
                <w:b/>
                <w:bCs/>
                <w:color w:val="FFFFFF"/>
                <w:sz w:val="20"/>
                <w:szCs w:val="20"/>
              </w:rPr>
              <w:t xml:space="preserve">Stage &amp; Node</w:t>
            </w:r>
          </w:p>
        </w:tc>
        <w:tc>
          <w:tcPr>
            <w:tcW w:type="dxa" w:w="18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pPr>
              <w:spacing w:before="80" w:after="80"/>
              <w:jc w:val="left"/>
            </w:pPr>
            <w:r>
              <w:rPr>
                <w:rFonts w:ascii="Arial" w:cs="Arial" w:eastAsia="Arial" w:hAnsi="Arial"/>
                <w:b/>
                <w:bCs/>
                <w:color w:val="FFFFFF"/>
                <w:sz w:val="20"/>
                <w:szCs w:val="20"/>
              </w:rPr>
              <w:t xml:space="preserve">Entry Condition</w:t>
            </w:r>
          </w:p>
        </w:tc>
        <w:tc>
          <w:tcPr>
            <w:tcW w:type="dxa" w:w="18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pPr>
              <w:spacing w:before="80" w:after="80"/>
              <w:jc w:val="left"/>
            </w:pPr>
            <w:r>
              <w:rPr>
                <w:rFonts w:ascii="Arial" w:cs="Arial" w:eastAsia="Arial" w:hAnsi="Arial"/>
                <w:b/>
                <w:bCs/>
                <w:color w:val="FFFFFF"/>
                <w:sz w:val="20"/>
                <w:szCs w:val="20"/>
              </w:rPr>
              <w:t xml:space="preserve">Core Experience</w:t>
            </w:r>
          </w:p>
        </w:tc>
        <w:tc>
          <w:tcPr>
            <w:tcW w:type="dxa" w:w="18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pPr>
              <w:spacing w:before="80" w:after="80"/>
              <w:jc w:val="left"/>
            </w:pPr>
            <w:r>
              <w:rPr>
                <w:rFonts w:ascii="Arial" w:cs="Arial" w:eastAsia="Arial" w:hAnsi="Arial"/>
                <w:b/>
                <w:bCs/>
                <w:color w:val="FFFFFF"/>
                <w:sz w:val="20"/>
                <w:szCs w:val="20"/>
              </w:rPr>
              <w:t xml:space="preserve">Output / Evidence</w:t>
            </w:r>
          </w:p>
        </w:tc>
        <w:tc>
          <w:tcPr>
            <w:tcW w:type="dxa" w:w="252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pPr>
              <w:spacing w:before="80" w:after="80"/>
              <w:jc w:val="left"/>
            </w:pPr>
            <w:r>
              <w:rPr>
                <w:rFonts w:ascii="Arial" w:cs="Arial" w:eastAsia="Arial" w:hAnsi="Arial"/>
                <w:b/>
                <w:bCs/>
                <w:color w:val="FFFFFF"/>
                <w:sz w:val="20"/>
                <w:szCs w:val="20"/>
              </w:rPr>
              <w:t xml:space="preserve">Token &amp; VAG Bridge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hd w:fill="F4A261" w:val="clear"/>
              <w:spacing w:before="40" w:after="40"/>
              <w:jc w:val="center"/>
            </w:pPr>
            <w:r>
              <w:rPr>
                <w:rFonts w:ascii="Arial" w:cs="Arial" w:eastAsia="Arial" w:hAnsi="Arial"/>
                <w:b/>
                <w:bCs/>
                <w:color w:val="FFFFFF"/>
                <w:sz w:val="18"/>
                <w:szCs w:val="18"/>
              </w:rPr>
              <w:t xml:space="preserve">AWARENESS</w:t>
            </w:r>
          </w:p>
          <w:p>
            <w:pPr>
              <w:spacing w:before="80" w:after="80"/>
              <w:jc w:val="left"/>
            </w:pPr>
            <w:r>
              <w:rPr>
                <w:rFonts w:ascii="Arial" w:cs="Arial" w:eastAsia="Arial" w:hAnsi="Arial"/>
                <w:b/>
                <w:bCs/>
                <w:color w:val="4A4A4A"/>
                <w:sz w:val="20"/>
                <w:szCs w:val="20"/>
              </w:rPr>
              <w:t xml:space="preserve">Node 1
The Landscape Remembers</w:t>
            </w:r>
          </w:p>
        </w:tc>
        <w:tc>
          <w:tcPr>
            <w:tcW w:type="dxa" w:w="180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Elder or mixed-age group; elder participants have lived memory of the Naturpark Schlaubetal or surrounding landscape</w:t>
            </w:r>
          </w:p>
        </w:tc>
        <w:tc>
          <w:tcPr>
            <w:tcW w:type="dxa" w:w="180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Ring 3 oral history walk; Elder Memory Prompts ("What grew here when you were young?"; "Where did the water flow differently?"; "What disappeared first?"); sensory comparison of current landscape against remembered landscape</w:t>
            </w:r>
          </w:p>
        </w:tc>
        <w:tc>
          <w:tcPr>
            <w:tcW w:type="dxa" w:w="180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Elder Memory Record (oral testimony transcribed or recorded with consent); Ring 3 annotated map with memory locations marked</w:t>
            </w:r>
          </w:p>
        </w:tc>
        <w:tc>
          <w:tcPr>
            <w:tcW w:type="dxa" w:w="252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Reciprocity token for oral testimony (elder gives knowledge; younger participants give documentation and acknowledgment)
VAG Bridge: "You just described a species that is no longer here. Is that knowledge written down anywhere? What would be lost if it stayed only in your memory?"</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hd w:fill="E76F51" w:val="clear"/>
              <w:spacing w:before="40" w:after="40"/>
              <w:jc w:val="center"/>
            </w:pPr>
            <w:r>
              <w:rPr>
                <w:rFonts w:ascii="Arial" w:cs="Arial" w:eastAsia="Arial" w:hAnsi="Arial"/>
                <w:b/>
                <w:bCs/>
                <w:color w:val="FFFFFF"/>
                <w:sz w:val="18"/>
                <w:szCs w:val="18"/>
              </w:rPr>
              <w:t xml:space="preserve">ACKNOWLEDGMENT</w:t>
            </w:r>
          </w:p>
          <w:p>
            <w:pPr>
              <w:spacing w:before="80" w:after="80"/>
              <w:jc w:val="left"/>
            </w:pPr>
            <w:r>
              <w:rPr>
                <w:rFonts w:ascii="Arial" w:cs="Arial" w:eastAsia="Arial" w:hAnsi="Arial"/>
                <w:b/>
                <w:bCs/>
                <w:color w:val="4A4A4A"/>
                <w:sz w:val="20"/>
                <w:szCs w:val="20"/>
              </w:rPr>
              <w:t xml:space="preserve">Node 2
Memory as Science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Has completed Node 1; ready for systematic documentation and cross-group connection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Memory Market workshop: elder knowledge stations (plants, soils, crafts, seasonal rhythms) paired with young participants; Elder Memory Map (overlaying memory locations on current GIS map); comparison with current iNaturalist data from the same locations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Memory Market exchange documentation; Elder Memory Map (GIS layer); Reciprocity token flows between elder and younger participants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Reciprocity and Mutualism tokens for Memory Market exchanges
VAG Bridge: "Your memory of the willow stand by the stream matched exactly what the soil data shows. Your knowledge was scientific all along. What else would you like to contribute to the record?"</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hd w:fill="457B9D" w:val="clear"/>
              <w:spacing w:before="40" w:after="40"/>
              <w:jc w:val="center"/>
            </w:pPr>
            <w:r>
              <w:rPr>
                <w:rFonts w:ascii="Arial" w:cs="Arial" w:eastAsia="Arial" w:hAnsi="Arial"/>
                <w:b/>
                <w:bCs/>
                <w:color w:val="FFFFFF"/>
                <w:sz w:val="18"/>
                <w:szCs w:val="18"/>
              </w:rPr>
              <w:t xml:space="preserve">ATTITUDE</w:t>
            </w:r>
          </w:p>
          <w:p>
            <w:pPr>
              <w:spacing w:before="80" w:after="80"/>
              <w:jc w:val="left"/>
            </w:pPr>
            <w:r>
              <w:rPr>
                <w:rFonts w:ascii="Arial" w:cs="Arial" w:eastAsia="Arial" w:hAnsi="Arial"/>
                <w:b/>
                <w:bCs/>
                <w:color w:val="4A4A4A"/>
                <w:sz w:val="20"/>
                <w:szCs w:val="20"/>
              </w:rPr>
              <w:t xml:space="preserve">Node 3
From Memory to Future</w:t>
            </w:r>
          </w:p>
        </w:tc>
        <w:tc>
          <w:tcPr>
            <w:tcW w:type="dxa" w:w="180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Has completed Node 2; ready to engage temporal projection and values reflection</w:t>
            </w:r>
          </w:p>
        </w:tc>
        <w:tc>
          <w:tcPr>
            <w:tcW w:type="dxa" w:w="180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Wisdom Circle session: past→present→future temporal arc discussion; intergenerational values dialogue (what do we owe the landscape? what do we owe the next generation?); Personal Quality Commitment card adapted for elder context</w:t>
            </w:r>
          </w:p>
        </w:tc>
        <w:tc>
          <w:tcPr>
            <w:tcW w:type="dxa" w:w="180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Wisdom Circle record (collective reflection on temporal arc); Personal Stewardship Commitment; contributed testimony to Erzählcafé archive</w:t>
            </w:r>
          </w:p>
        </w:tc>
        <w:tc>
          <w:tcPr>
            <w:tcW w:type="dxa" w:w="252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Regeneration token for Erzählcafé contribution (ecological and cultural memory preserved)
VAG Bridge: "You described what you want to hand on. What specific knowledge needs to be documented before it is lost, and who is the right person to document it with you?"</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hd w:fill="1B4332" w:val="clear"/>
              <w:spacing w:before="40" w:after="40"/>
              <w:jc w:val="center"/>
            </w:pPr>
            <w:r>
              <w:rPr>
                <w:rFonts w:ascii="Arial" w:cs="Arial" w:eastAsia="Arial" w:hAnsi="Arial"/>
                <w:b/>
                <w:bCs/>
                <w:color w:val="FFFFFF"/>
                <w:sz w:val="18"/>
                <w:szCs w:val="18"/>
              </w:rPr>
              <w:t xml:space="preserve">ACTION</w:t>
            </w:r>
          </w:p>
          <w:p>
            <w:pPr>
              <w:spacing w:before="80" w:after="80"/>
              <w:jc w:val="left"/>
            </w:pPr>
            <w:r>
              <w:rPr>
                <w:rFonts w:ascii="Arial" w:cs="Arial" w:eastAsia="Arial" w:hAnsi="Arial"/>
                <w:b/>
                <w:bCs/>
                <w:color w:val="4A4A4A"/>
                <w:sz w:val="20"/>
                <w:szCs w:val="20"/>
              </w:rPr>
              <w:t xml:space="preserve">Node 4
Custodian of Place-Knowledge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Has completed Nodes 1–3; ready to take an active custodial role in programme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Elder Memory Map published as OER (with elder’s consent and attribution); Wisdom Circle facilitator role; pattern card custodian (elder names and authenticates patterns discovered by other groups); annual Pattern Language Assembly participation as elder knowledge-holder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OER Elder Memory Map with Creative Commons attribution; facilitated Wisdom Circle session documentation; authenticated pattern cards in programme commons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Regeneration token for OER publication; Mutualism token for Pattern Language Assembly contribution
VAG Bridge: "Your memory map is now searchable by researchers, planners, and children you will never meet. What else should be in that map?"</w:t>
            </w:r>
          </w:p>
        </w:tc>
      </w:tr>
    </w:tbl>
    <w:p>
      <w:pPr>
        <w:spacing w:before="40" w:after="40"/>
      </w:pPr>
      <w:r>
        <w:t xml:space="preserve"/>
      </w:r>
    </w:p>
    <w:p>
      <w:pPr>
        <w:pStyle w:val="Heading4"/>
        <w:spacing w:before="160" w:after="80"/>
      </w:pPr>
      <w:r>
        <w:rPr>
          <w:rFonts w:ascii="Arial" w:cs="Arial" w:eastAsia="Arial" w:hAnsi="Arial"/>
          <w:b/>
          <w:bCs/>
          <w:color w:val="4A4A4A"/>
          <w:sz w:val="22"/>
          <w:szCs w:val="22"/>
        </w:rPr>
        <w:t xml:space="preserve">Convergence Zones</w:t>
      </w:r>
    </w:p>
    <w:p>
      <w:pPr>
        <w:spacing w:before="80" w:after="120"/>
        <w:jc w:val="left"/>
      </w:pPr>
      <w:r>
        <w:rPr>
          <w:rFonts w:ascii="Arial" w:cs="Arial" w:eastAsia="Arial" w:hAnsi="Arial"/>
          <w:color w:val="4A4A4A"/>
          <w:sz w:val="22"/>
          <w:szCs w:val="22"/>
        </w:rPr>
        <w:t xml:space="preserve">Node 2 Memory Market is the primary multi-group convergence zone: it explicitly brings Children &amp; Youth (Target Group 1, Node 3 or 4) and Adults &amp; Families (Target Group 2, Node 3 or 4) into structured exchange with elders. The elder testimony data at Node 1 becomes the historical baseline against which the school class’s spring Node 1 soil data is interpreted. The Wisdom Circle facilitator role (Node 4) creates regular contact with all other target groups, and elder token holders are central to the annual Pattern Language Assembly as authenticators of place-knowledge.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D6A4F" w:val="clear"/>
            <w:tcMar>
              <w:top w:type="dxa" w:w="80"/>
              <w:left w:type="dxa" w:w="120"/>
              <w:bottom w:type="dxa" w:w="80"/>
              <w:right w:type="dxa" w:w="120"/>
            </w:tcMar>
          </w:tcPr>
          <w:p>
            <w:pPr>
              <w:spacing w:before="100" w:after="40"/>
              <w:jc w:val="center"/>
            </w:pPr>
            <w:r>
              <w:rPr>
                <w:rFonts w:ascii="Arial" w:cs="Arial" w:eastAsia="Arial" w:hAnsi="Arial"/>
                <w:b/>
                <w:bCs/>
                <w:color w:val="FFFFFF"/>
                <w:sz w:val="32"/>
                <w:szCs w:val="32"/>
              </w:rPr>
              <w:t xml:space="preserve">🎨  Target Group 4: Artists &amp; Researchers</w:t>
            </w:r>
          </w:p>
          <w:p>
            <w:pPr>
              <w:spacing w:before="80" w:after="100"/>
              <w:jc w:val="center"/>
            </w:pPr>
            <w:r>
              <w:rPr>
                <w:rFonts w:ascii="Arial" w:cs="Arial" w:eastAsia="Arial" w:hAnsi="Arial"/>
                <w:color w:val="B7E4C7"/>
                <w:sz w:val="22"/>
                <w:szCs w:val="22"/>
              </w:rPr>
              <w:t xml:space="preserve">Any age | Artist-in-Residence programme, Citizen Science extended projects, academic research</w:t>
            </w:r>
          </w:p>
        </w:tc>
      </w:tr>
    </w:tbl>
    <w:p>
      <w:pPr>
        <w:spacing w:before="40" w:after="40"/>
      </w:pPr>
      <w:r>
        <w:t xml:space="preserve"/>
      </w:r>
    </w:p>
    <w:p>
      <w:pPr>
        <w:pStyle w:val="Heading3"/>
        <w:spacing w:before="200" w:after="100"/>
      </w:pPr>
      <w:r>
        <w:rPr>
          <w:rFonts w:ascii="Arial" w:cs="Arial" w:eastAsia="Arial" w:hAnsi="Arial"/>
          <w:b/>
          <w:bCs/>
          <w:color w:val="2D6A4F"/>
          <w:sz w:val="24"/>
          <w:szCs w:val="24"/>
        </w:rPr>
        <w:t xml:space="preserve">Starting State &amp; Context</w:t>
      </w:r>
    </w:p>
    <w:p>
      <w:pPr>
        <w:spacing w:before="80" w:after="120"/>
        <w:jc w:val="left"/>
      </w:pPr>
      <w:r>
        <w:rPr>
          <w:rFonts w:ascii="Arial" w:cs="Arial" w:eastAsia="Arial" w:hAnsi="Arial"/>
          <w:color w:val="4A4A4A"/>
          <w:sz w:val="22"/>
          <w:szCs w:val="22"/>
        </w:rPr>
        <w:t xml:space="preserve">Artists and researchers arrive with two capacities that distinguish them from other target groups: methodological rigour (the ability to design and sustain a systematic observation practice) and creative defamiliarisation (the ability to see the familiar as strange, to make the invisible visible through non-standard forms of representation). The VAG for this group often takes the form of the researcher who knows but does not act, or the artist who produces work about the environmental crisis without the work changing anything. The pathway is designed to ground both capacities in the specific living reality of the Naturpark Schlaubetal sub-bioregion — converting generic expertise into place-specific knowledge and place-specific contribution.</w:t>
      </w:r>
    </w:p>
    <w:p>
      <w:pPr>
        <w:pStyle w:val="Heading4"/>
        <w:spacing w:before="160" w:after="80"/>
      </w:pPr>
      <w:r>
        <w:rPr>
          <w:rFonts w:ascii="Arial" w:cs="Arial" w:eastAsia="Arial" w:hAnsi="Arial"/>
          <w:b/>
          <w:bCs/>
          <w:color w:val="4A4A4A"/>
          <w:sz w:val="22"/>
          <w:szCs w:val="22"/>
        </w:rPr>
        <w:t xml:space="preserve">Competency Profile Emphasis</w:t>
      </w:r>
    </w:p>
    <w:p>
      <w:pPr>
        <w:spacing w:before="80" w:after="120"/>
        <w:jc w:val="left"/>
      </w:pPr>
      <w:r>
        <w:rPr>
          <w:rFonts w:ascii="Arial" w:cs="Arial" w:eastAsia="Arial" w:hAnsi="Arial"/>
          <w:color w:val="4A4A4A"/>
          <w:sz w:val="22"/>
          <w:szCs w:val="22"/>
        </w:rPr>
        <w:t xml:space="preserve">Scientific Inquiry and Technology Competence are engaged at the deepest level available in the programme. Environmental Literacy takes its most systemic form. Economic Understanding is critically examined through the "Value Beyond Price" workshop, which is unique to this target group. Social-Emotional Learning is engaged through the community integration dimension of the residency, which explicitly requires the artist-researcher to engage with the other four target groups rather than remaining in a separate professional sphere.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1800"/>
        <w:gridCol w:w="1800"/>
        <w:gridCol w:w="2520"/>
      </w:tblGrid>
      <w:tr>
        <w:trPr>
          <w:tblHeader/>
        </w:trPr>
        <w:tc>
          <w:tcPr>
            <w:tcW w:type="dxa" w:w="144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pPr>
              <w:spacing w:before="80" w:after="80"/>
              <w:jc w:val="left"/>
            </w:pPr>
            <w:r>
              <w:rPr>
                <w:rFonts w:ascii="Arial" w:cs="Arial" w:eastAsia="Arial" w:hAnsi="Arial"/>
                <w:b/>
                <w:bCs/>
                <w:color w:val="FFFFFF"/>
                <w:sz w:val="20"/>
                <w:szCs w:val="20"/>
              </w:rPr>
              <w:t xml:space="preserve">Stage &amp; Node</w:t>
            </w:r>
          </w:p>
        </w:tc>
        <w:tc>
          <w:tcPr>
            <w:tcW w:type="dxa" w:w="18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pPr>
              <w:spacing w:before="80" w:after="80"/>
              <w:jc w:val="left"/>
            </w:pPr>
            <w:r>
              <w:rPr>
                <w:rFonts w:ascii="Arial" w:cs="Arial" w:eastAsia="Arial" w:hAnsi="Arial"/>
                <w:b/>
                <w:bCs/>
                <w:color w:val="FFFFFF"/>
                <w:sz w:val="20"/>
                <w:szCs w:val="20"/>
              </w:rPr>
              <w:t xml:space="preserve">Entry Condition</w:t>
            </w:r>
          </w:p>
        </w:tc>
        <w:tc>
          <w:tcPr>
            <w:tcW w:type="dxa" w:w="18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pPr>
              <w:spacing w:before="80" w:after="80"/>
              <w:jc w:val="left"/>
            </w:pPr>
            <w:r>
              <w:rPr>
                <w:rFonts w:ascii="Arial" w:cs="Arial" w:eastAsia="Arial" w:hAnsi="Arial"/>
                <w:b/>
                <w:bCs/>
                <w:color w:val="FFFFFF"/>
                <w:sz w:val="20"/>
                <w:szCs w:val="20"/>
              </w:rPr>
              <w:t xml:space="preserve">Core Experience</w:t>
            </w:r>
          </w:p>
        </w:tc>
        <w:tc>
          <w:tcPr>
            <w:tcW w:type="dxa" w:w="18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pPr>
              <w:spacing w:before="80" w:after="80"/>
              <w:jc w:val="left"/>
            </w:pPr>
            <w:r>
              <w:rPr>
                <w:rFonts w:ascii="Arial" w:cs="Arial" w:eastAsia="Arial" w:hAnsi="Arial"/>
                <w:b/>
                <w:bCs/>
                <w:color w:val="FFFFFF"/>
                <w:sz w:val="20"/>
                <w:szCs w:val="20"/>
              </w:rPr>
              <w:t xml:space="preserve">Output / Evidence</w:t>
            </w:r>
          </w:p>
        </w:tc>
        <w:tc>
          <w:tcPr>
            <w:tcW w:type="dxa" w:w="252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pPr>
              <w:spacing w:before="80" w:after="80"/>
              <w:jc w:val="left"/>
            </w:pPr>
            <w:r>
              <w:rPr>
                <w:rFonts w:ascii="Arial" w:cs="Arial" w:eastAsia="Arial" w:hAnsi="Arial"/>
                <w:b/>
                <w:bCs/>
                <w:color w:val="FFFFFF"/>
                <w:sz w:val="20"/>
                <w:szCs w:val="20"/>
              </w:rPr>
              <w:t xml:space="preserve">Token &amp; VAG Bridge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hd w:fill="F4A261" w:val="clear"/>
              <w:spacing w:before="40" w:after="40"/>
              <w:jc w:val="center"/>
            </w:pPr>
            <w:r>
              <w:rPr>
                <w:rFonts w:ascii="Arial" w:cs="Arial" w:eastAsia="Arial" w:hAnsi="Arial"/>
                <w:b/>
                <w:bCs/>
                <w:color w:val="FFFFFF"/>
                <w:sz w:val="18"/>
                <w:szCs w:val="18"/>
              </w:rPr>
              <w:t xml:space="preserve">AWARENESS</w:t>
            </w:r>
          </w:p>
          <w:p>
            <w:pPr>
              <w:spacing w:before="80" w:after="80"/>
              <w:jc w:val="left"/>
            </w:pPr>
            <w:r>
              <w:rPr>
                <w:rFonts w:ascii="Arial" w:cs="Arial" w:eastAsia="Arial" w:hAnsi="Arial"/>
                <w:b/>
                <w:bCs/>
                <w:color w:val="4A4A4A"/>
                <w:sz w:val="20"/>
                <w:szCs w:val="20"/>
              </w:rPr>
              <w:t xml:space="preserve">Node 1
Slowing Down to See</w:t>
            </w:r>
          </w:p>
        </w:tc>
        <w:tc>
          <w:tcPr>
            <w:tcW w:type="dxa" w:w="180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First residency arrival OR first research visit; professional practice background; no prior Erdpuls engagement required</w:t>
            </w:r>
          </w:p>
        </w:tc>
        <w:tc>
          <w:tcPr>
            <w:tcW w:type="dxa" w:w="180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Full ring sequence at Goethean depth: sustained single-location observation (minimum 3 sessions, different times of day and weather); Ring 0 body calibration documented in daily journal; Tier 1→2→3 sensory progression tracked explicitly; sensor dialogue with own body as primary instrument</w:t>
            </w:r>
          </w:p>
        </w:tc>
        <w:tc>
          <w:tcPr>
            <w:tcW w:type="dxa" w:w="180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Daily observation journal (minimum 5 entries); Goethean observation field notes distinguishing perception from interpretation; first Tier 1/Tier 2 Sensor Dialogue record</w:t>
            </w:r>
          </w:p>
        </w:tc>
        <w:tc>
          <w:tcPr>
            <w:tcW w:type="dxa" w:w="252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Cooperation token for structured observation protocol adherence
VAG Bridge: "What did the fifth visit show that the first did not? What did your body notice that your notebook did not initially record?"</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hd w:fill="E76F51" w:val="clear"/>
              <w:spacing w:before="40" w:after="40"/>
              <w:jc w:val="center"/>
            </w:pPr>
            <w:r>
              <w:rPr>
                <w:rFonts w:ascii="Arial" w:cs="Arial" w:eastAsia="Arial" w:hAnsi="Arial"/>
                <w:b/>
                <w:bCs/>
                <w:color w:val="FFFFFF"/>
                <w:sz w:val="18"/>
                <w:szCs w:val="18"/>
              </w:rPr>
              <w:t xml:space="preserve">ACKNOWLEDGMENT</w:t>
            </w:r>
          </w:p>
          <w:p>
            <w:pPr>
              <w:spacing w:before="80" w:after="80"/>
              <w:jc w:val="left"/>
            </w:pPr>
            <w:r>
              <w:rPr>
                <w:rFonts w:ascii="Arial" w:cs="Arial" w:eastAsia="Arial" w:hAnsi="Arial"/>
                <w:b/>
                <w:bCs/>
                <w:color w:val="4A4A4A"/>
                <w:sz w:val="20"/>
                <w:szCs w:val="20"/>
              </w:rPr>
              <w:t xml:space="preserve">Node 2
Patterns Beyond Disciplines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Has completed Node 1; ready to engage interdisciplinary synthesis and data contribution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Non-standard cartography session: artist-researcher maps the campus using their own perceptual categories (sound, light quality, proxemic comfort, aesthetic charge); GIS layer integration with existing iNaturalist and openSenseMap data; pattern documentation across multiple media (photo, drawing, writing, audio)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Non-standard cartographic work (physical or digital); minimum 3 pattern cards named and described; contribution to Erdpuls longitudinal open data commons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Mutualism tokens for open data contribution and pattern card commons entry
VAG Bridge: "Your sound map and the soil pH map show the same boundary. This was not a coincidence. What is the pattern that connects them, and who needs to know about it?"</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hd w:fill="457B9D" w:val="clear"/>
              <w:spacing w:before="40" w:after="40"/>
              <w:jc w:val="center"/>
            </w:pPr>
            <w:r>
              <w:rPr>
                <w:rFonts w:ascii="Arial" w:cs="Arial" w:eastAsia="Arial" w:hAnsi="Arial"/>
                <w:b/>
                <w:bCs/>
                <w:color w:val="FFFFFF"/>
                <w:sz w:val="18"/>
                <w:szCs w:val="18"/>
              </w:rPr>
              <w:t xml:space="preserve">ATTITUDE</w:t>
            </w:r>
          </w:p>
          <w:p>
            <w:pPr>
              <w:spacing w:before="80" w:after="80"/>
              <w:jc w:val="left"/>
            </w:pPr>
            <w:r>
              <w:rPr>
                <w:rFonts w:ascii="Arial" w:cs="Arial" w:eastAsia="Arial" w:hAnsi="Arial"/>
                <w:b/>
                <w:bCs/>
                <w:color w:val="4A4A4A"/>
                <w:sz w:val="20"/>
                <w:szCs w:val="20"/>
              </w:rPr>
              <w:t xml:space="preserve">Node 3
Value Beyond Price</w:t>
            </w:r>
          </w:p>
        </w:tc>
        <w:tc>
          <w:tcPr>
            <w:tcW w:type="dxa" w:w="180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Has completed Node 2; ready for critical economic and community engagement</w:t>
            </w:r>
          </w:p>
        </w:tc>
        <w:tc>
          <w:tcPr>
            <w:tcW w:type="dxa" w:w="180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"Value Beyond Price" workshop: critical examination of what is and is not measured by market price; four-element token economy design exercise applied to the artist’s own practice; critical dialogue on tokenisation, autonomy, and the colonial knowledge-extraction dynamic; community integration session (engagement with at least one other target group as equal participant)</w:t>
            </w:r>
          </w:p>
        </w:tc>
        <w:tc>
          <w:tcPr>
            <w:tcW w:type="dxa" w:w="180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Written response to the four critical dialogue questions (documented); token economy design sketch for own practice; community engagement record</w:t>
            </w:r>
          </w:p>
        </w:tc>
        <w:tc>
          <w:tcPr>
            <w:tcW w:type="dxa" w:w="252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Reciprocity token for community integration session; Mutualism token for critical dialogue contribution to programme development
VAG Bridge: "You described your work as autonomous. Now describe it as embedded in the community that made it possible. What changes in the description? What obligations appear?"</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hd w:fill="1B4332" w:val="clear"/>
              <w:spacing w:before="40" w:after="40"/>
              <w:jc w:val="center"/>
            </w:pPr>
            <w:r>
              <w:rPr>
                <w:rFonts w:ascii="Arial" w:cs="Arial" w:eastAsia="Arial" w:hAnsi="Arial"/>
                <w:b/>
                <w:bCs/>
                <w:color w:val="FFFFFF"/>
                <w:sz w:val="18"/>
                <w:szCs w:val="18"/>
              </w:rPr>
              <w:t xml:space="preserve">ACTION</w:t>
            </w:r>
          </w:p>
          <w:p>
            <w:pPr>
              <w:spacing w:before="80" w:after="80"/>
              <w:jc w:val="left"/>
            </w:pPr>
            <w:r>
              <w:rPr>
                <w:rFonts w:ascii="Arial" w:cs="Arial" w:eastAsia="Arial" w:hAnsi="Arial"/>
                <w:b/>
                <w:bCs/>
                <w:color w:val="4A4A4A"/>
                <w:sz w:val="20"/>
                <w:szCs w:val="20"/>
              </w:rPr>
              <w:t xml:space="preserve">Node 4
Residency as Living Research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Has completed Nodes 1–3; ready to produce and publish output that returns value to the community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Residency output development and publication: work published as OER with Creative Commons attribution (with artist agreement); GIS synthesis of pattern language contributions across the full residency period; Pattern Language Assembly presentation of findings; optional: sensor station design contribution to Erdpuls IoT network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Published OER residency output; full-residency pattern language synthesis (GIS map + narrative); Pattern Language Assembly presentation; optional sensor station documentation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Regeneration token for OER publication; Mutualism token for Pattern Language Assembly contribution; additional Regeneration token for sensor station contribution
VAG Bridge: "Your work is now searchable by anyone. Which of the five target groups is most likely to encounter it, and what do you want them to find?"</w:t>
            </w:r>
          </w:p>
        </w:tc>
      </w:tr>
    </w:tbl>
    <w:p>
      <w:pPr>
        <w:spacing w:before="40" w:after="40"/>
      </w:pPr>
      <w:r>
        <w:t xml:space="preserve"/>
      </w:r>
    </w:p>
    <w:p>
      <w:pPr>
        <w:pStyle w:val="Heading4"/>
        <w:spacing w:before="160" w:after="80"/>
      </w:pPr>
      <w:r>
        <w:rPr>
          <w:rFonts w:ascii="Arial" w:cs="Arial" w:eastAsia="Arial" w:hAnsi="Arial"/>
          <w:b/>
          <w:bCs/>
          <w:color w:val="4A4A4A"/>
          <w:sz w:val="22"/>
          <w:szCs w:val="22"/>
        </w:rPr>
        <w:t xml:space="preserve">Convergence Zones</w:t>
      </w:r>
    </w:p>
    <w:p>
      <w:pPr>
        <w:spacing w:before="80" w:after="120"/>
        <w:jc w:val="left"/>
      </w:pPr>
      <w:r>
        <w:rPr>
          <w:rFonts w:ascii="Arial" w:cs="Arial" w:eastAsia="Arial" w:hAnsi="Arial"/>
          <w:color w:val="4A4A4A"/>
          <w:sz w:val="22"/>
          <w:szCs w:val="22"/>
        </w:rPr>
        <w:t xml:space="preserve">The Artist-Researcher is the primary producer of non-standard cartographies that integrate all other groups’ data. Their GIS synthesis (Node 4) is the document that makes the annual pattern language visible as a whole. At Node 3 community integration, the artist-researcher participates as an equal in sessions with Children &amp; Youth, Adults &amp; Families, or Elders &amp; Intergenerational Groups, generating Reciprocity token flows in all directions. The "Value Beyond Price" critical dialogue contributes to programme quality development (BNE 5.1), making artists and researchers active programme co-developers.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D6A4F" w:val="clear"/>
            <w:tcMar>
              <w:top w:type="dxa" w:w="80"/>
              <w:left w:type="dxa" w:w="120"/>
              <w:bottom w:type="dxa" w:w="80"/>
              <w:right w:type="dxa" w:w="120"/>
            </w:tcMar>
          </w:tcPr>
          <w:p>
            <w:pPr>
              <w:spacing w:before="100" w:after="40"/>
              <w:jc w:val="center"/>
            </w:pPr>
            <w:r>
              <w:rPr>
                <w:rFonts w:ascii="Arial" w:cs="Arial" w:eastAsia="Arial" w:hAnsi="Arial"/>
                <w:b/>
                <w:bCs/>
                <w:color w:val="FFFFFF"/>
                <w:sz w:val="32"/>
                <w:szCs w:val="32"/>
              </w:rPr>
              <w:t xml:space="preserve">🇩🇪🇵🇱  Target Group 5: Cross-Border DE/PL Groups</w:t>
            </w:r>
          </w:p>
          <w:p>
            <w:pPr>
              <w:spacing w:before="80" w:after="100"/>
              <w:jc w:val="center"/>
            </w:pPr>
            <w:r>
              <w:rPr>
                <w:rFonts w:ascii="Arial" w:cs="Arial" w:eastAsia="Arial" w:hAnsi="Arial"/>
                <w:color w:val="B7E4C7"/>
                <w:sz w:val="22"/>
                <w:szCs w:val="22"/>
              </w:rPr>
              <w:t xml:space="preserve">Any age | Mixed German-Polish groups | Trilingual: DE / EN / PL</w:t>
            </w:r>
          </w:p>
        </w:tc>
      </w:tr>
    </w:tbl>
    <w:p>
      <w:pPr>
        <w:spacing w:before="40" w:after="40"/>
      </w:pPr>
      <w:r>
        <w:t xml:space="preserve"/>
      </w:r>
    </w:p>
    <w:p>
      <w:pPr>
        <w:pStyle w:val="Heading3"/>
        <w:spacing w:before="200" w:after="100"/>
      </w:pPr>
      <w:r>
        <w:rPr>
          <w:rFonts w:ascii="Arial" w:cs="Arial" w:eastAsia="Arial" w:hAnsi="Arial"/>
          <w:b/>
          <w:bCs/>
          <w:color w:val="2D6A4F"/>
          <w:sz w:val="24"/>
          <w:szCs w:val="24"/>
        </w:rPr>
        <w:t xml:space="preserve">Starting State &amp; Context</w:t>
      </w:r>
    </w:p>
    <w:p>
      <w:pPr>
        <w:spacing w:before="80" w:after="120"/>
        <w:jc w:val="left"/>
      </w:pPr>
      <w:r>
        <w:rPr>
          <w:rFonts w:ascii="Arial" w:cs="Arial" w:eastAsia="Arial" w:hAnsi="Arial"/>
          <w:color w:val="4A4A4A"/>
          <w:sz w:val="22"/>
          <w:szCs w:val="22"/>
        </w:rPr>
        <w:t xml:space="preserve">Cross-border groups arrive at Erdpuls from both sides of the Oder-Neisse border, typically as part of a bilateral exchange programme. They bring the most complex social and cultural dynamic of any target group: two national frameworks for sustainability education (the German BNE system and the Polish environmental education tradition), two official languages plus English as a potential bridge, different proxemic norms, and the full weight of the shared history of the border region. The VAG for this group is compounded by the cross-cultural dimension: not only the gap between values and action, but the gap between what each national tradition values and the collaborative action that the shared landscape requires. The pathway is designed to use this complexity as a learning resource, not an obstacle.</w:t>
      </w:r>
    </w:p>
    <w:p>
      <w:pPr>
        <w:pStyle w:val="Heading4"/>
        <w:spacing w:before="160" w:after="80"/>
      </w:pPr>
      <w:r>
        <w:rPr>
          <w:rFonts w:ascii="Arial" w:cs="Arial" w:eastAsia="Arial" w:hAnsi="Arial"/>
          <w:b/>
          <w:bCs/>
          <w:color w:val="4A4A4A"/>
          <w:sz w:val="22"/>
          <w:szCs w:val="22"/>
        </w:rPr>
        <w:t xml:space="preserve">Competency Profile Emphasis</w:t>
      </w:r>
    </w:p>
    <w:p>
      <w:pPr>
        <w:spacing w:before="80" w:after="120"/>
        <w:jc w:val="left"/>
      </w:pPr>
      <w:r>
        <w:rPr>
          <w:rFonts w:ascii="Arial" w:cs="Arial" w:eastAsia="Arial" w:hAnsi="Arial"/>
          <w:color w:val="4A4A4A"/>
          <w:sz w:val="22"/>
          <w:szCs w:val="22"/>
        </w:rPr>
        <w:t xml:space="preserve">Social-Emotional Learning (cross-cultural competence, proxemic negotiation, collaborative deliberation) and Economic Understanding (comparative frameworks, cross-border token economy design) are primary. Environmental Literacy takes its most explicitly shared form: the Naturpark Schlaubetal glacial landscape as common heritage that crosses the border. Scientific Inquiry is engaged through comparative citizen science protocols that extend open data contribution to Polish-side partner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1800"/>
        <w:gridCol w:w="1800"/>
        <w:gridCol w:w="2520"/>
      </w:tblGrid>
      <w:tr>
        <w:trPr>
          <w:tblHeader/>
        </w:trPr>
        <w:tc>
          <w:tcPr>
            <w:tcW w:type="dxa" w:w="144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pPr>
              <w:spacing w:before="80" w:after="80"/>
              <w:jc w:val="left"/>
            </w:pPr>
            <w:r>
              <w:rPr>
                <w:rFonts w:ascii="Arial" w:cs="Arial" w:eastAsia="Arial" w:hAnsi="Arial"/>
                <w:b/>
                <w:bCs/>
                <w:color w:val="FFFFFF"/>
                <w:sz w:val="20"/>
                <w:szCs w:val="20"/>
              </w:rPr>
              <w:t xml:space="preserve">Stage &amp; Node</w:t>
            </w:r>
          </w:p>
        </w:tc>
        <w:tc>
          <w:tcPr>
            <w:tcW w:type="dxa" w:w="18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pPr>
              <w:spacing w:before="80" w:after="80"/>
              <w:jc w:val="left"/>
            </w:pPr>
            <w:r>
              <w:rPr>
                <w:rFonts w:ascii="Arial" w:cs="Arial" w:eastAsia="Arial" w:hAnsi="Arial"/>
                <w:b/>
                <w:bCs/>
                <w:color w:val="FFFFFF"/>
                <w:sz w:val="20"/>
                <w:szCs w:val="20"/>
              </w:rPr>
              <w:t xml:space="preserve">Entry Condition</w:t>
            </w:r>
          </w:p>
        </w:tc>
        <w:tc>
          <w:tcPr>
            <w:tcW w:type="dxa" w:w="18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pPr>
              <w:spacing w:before="80" w:after="80"/>
              <w:jc w:val="left"/>
            </w:pPr>
            <w:r>
              <w:rPr>
                <w:rFonts w:ascii="Arial" w:cs="Arial" w:eastAsia="Arial" w:hAnsi="Arial"/>
                <w:b/>
                <w:bCs/>
                <w:color w:val="FFFFFF"/>
                <w:sz w:val="20"/>
                <w:szCs w:val="20"/>
              </w:rPr>
              <w:t xml:space="preserve">Core Experience</w:t>
            </w:r>
          </w:p>
        </w:tc>
        <w:tc>
          <w:tcPr>
            <w:tcW w:type="dxa" w:w="18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pPr>
              <w:spacing w:before="80" w:after="80"/>
              <w:jc w:val="left"/>
            </w:pPr>
            <w:r>
              <w:rPr>
                <w:rFonts w:ascii="Arial" w:cs="Arial" w:eastAsia="Arial" w:hAnsi="Arial"/>
                <w:b/>
                <w:bCs/>
                <w:color w:val="FFFFFF"/>
                <w:sz w:val="20"/>
                <w:szCs w:val="20"/>
              </w:rPr>
              <w:t xml:space="preserve">Output / Evidence</w:t>
            </w:r>
          </w:p>
        </w:tc>
        <w:tc>
          <w:tcPr>
            <w:tcW w:type="dxa" w:w="252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pPr>
              <w:spacing w:before="80" w:after="80"/>
              <w:jc w:val="left"/>
            </w:pPr>
            <w:r>
              <w:rPr>
                <w:rFonts w:ascii="Arial" w:cs="Arial" w:eastAsia="Arial" w:hAnsi="Arial"/>
                <w:b/>
                <w:bCs/>
                <w:color w:val="FFFFFF"/>
                <w:sz w:val="20"/>
                <w:szCs w:val="20"/>
              </w:rPr>
              <w:t xml:space="preserve">Token &amp; VAG Bridge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hd w:fill="F4A261" w:val="clear"/>
              <w:spacing w:before="40" w:after="40"/>
              <w:jc w:val="center"/>
            </w:pPr>
            <w:r>
              <w:rPr>
                <w:rFonts w:ascii="Arial" w:cs="Arial" w:eastAsia="Arial" w:hAnsi="Arial"/>
                <w:b/>
                <w:bCs/>
                <w:color w:val="FFFFFF"/>
                <w:sz w:val="18"/>
                <w:szCs w:val="18"/>
              </w:rPr>
              <w:t xml:space="preserve">AWARENESS</w:t>
            </w:r>
          </w:p>
          <w:p>
            <w:pPr>
              <w:spacing w:before="80" w:after="80"/>
              <w:jc w:val="left"/>
            </w:pPr>
            <w:r>
              <w:rPr>
                <w:rFonts w:ascii="Arial" w:cs="Arial" w:eastAsia="Arial" w:hAnsi="Arial"/>
                <w:b/>
                <w:bCs/>
                <w:color w:val="4A4A4A"/>
                <w:sz w:val="20"/>
                <w:szCs w:val="20"/>
              </w:rPr>
              <w:t xml:space="preserve">Node 1
One Landscape, Two Languages</w:t>
            </w:r>
          </w:p>
        </w:tc>
        <w:tc>
          <w:tcPr>
            <w:tcW w:type="dxa" w:w="180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Mixed DE/PL group, balanced composition (minimum 40/60 each side); facilitators in both languages; first joint session</w:t>
            </w:r>
          </w:p>
        </w:tc>
        <w:tc>
          <w:tcPr>
            <w:tcW w:type="dxa" w:w="180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Shared glacial landscape introduction: the sub-bioregion as a common ground that predates the border; trilingual Ring 0 body calibration; multilingual Life Count (same organisms, two languages); soil observation with proxemic notes on cultural distance norms; sensory encounter before national framework introduction</w:t>
            </w:r>
          </w:p>
        </w:tc>
        <w:tc>
          <w:tcPr>
            <w:tcW w:type="dxa" w:w="180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Trilingual Life Count record (DE/EN/PL); individual Ring 0 body calibration notes in own language; first cross-cultural proxemic observation (documented)</w:t>
            </w:r>
          </w:p>
        </w:tc>
        <w:tc>
          <w:tcPr>
            <w:tcW w:type="dxa" w:w="252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Cooperation token for joint Life Count
VAG Bridge: "You just used three languages to describe the same organism. Which description felt most alive to you? Why might that matter for the science?"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hd w:fill="E76F51" w:val="clear"/>
              <w:spacing w:before="40" w:after="40"/>
              <w:jc w:val="center"/>
            </w:pPr>
            <w:r>
              <w:rPr>
                <w:rFonts w:ascii="Arial" w:cs="Arial" w:eastAsia="Arial" w:hAnsi="Arial"/>
                <w:b/>
                <w:bCs/>
                <w:color w:val="FFFFFF"/>
                <w:sz w:val="18"/>
                <w:szCs w:val="18"/>
              </w:rPr>
              <w:t xml:space="preserve">ACKNOWLEDGMENT</w:t>
            </w:r>
          </w:p>
          <w:p>
            <w:pPr>
              <w:spacing w:before="80" w:after="80"/>
              <w:jc w:val="left"/>
            </w:pPr>
            <w:r>
              <w:rPr>
                <w:rFonts w:ascii="Arial" w:cs="Arial" w:eastAsia="Arial" w:hAnsi="Arial"/>
                <w:b/>
                <w:bCs/>
                <w:color w:val="4A4A4A"/>
                <w:sz w:val="20"/>
                <w:szCs w:val="20"/>
              </w:rPr>
              <w:t xml:space="preserve">Node 2
Frameworks That Converge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Has completed Node 1; ready for comparative framework engagement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"Quality Without Borders" framework comparison: each national delegation presents its sustainability education framework to the other in accessible format; identification of minimum 5 converging principles and 2 genuine divergences; shared bioregion boundary deliberation using Ring 4 methodology; cross-border citizen science data contribution (iNaturalist observations from both sides of the border linked)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Framework comparison matrix (minimum 5 convergences, 2 divergences); cross-border bioregion boundary proposal; iNaturalist observations from both national sides linked in shared project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Mutualism token for cross-border citizen science data; Reciprocity token for framework exchange
VAG Bridge: "Your two frameworks agreed on the same principle but called it different names. What was lost in the naming difference? What would it mean to act on that principle together?"</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hd w:fill="457B9D" w:val="clear"/>
              <w:spacing w:before="40" w:after="40"/>
              <w:jc w:val="center"/>
            </w:pPr>
            <w:r>
              <w:rPr>
                <w:rFonts w:ascii="Arial" w:cs="Arial" w:eastAsia="Arial" w:hAnsi="Arial"/>
                <w:b/>
                <w:bCs/>
                <w:color w:val="FFFFFF"/>
                <w:sz w:val="18"/>
                <w:szCs w:val="18"/>
              </w:rPr>
              <w:t xml:space="preserve">ATTITUDE</w:t>
            </w:r>
          </w:p>
          <w:p>
            <w:pPr>
              <w:spacing w:before="80" w:after="80"/>
              <w:jc w:val="left"/>
            </w:pPr>
            <w:r>
              <w:rPr>
                <w:rFonts w:ascii="Arial" w:cs="Arial" w:eastAsia="Arial" w:hAnsi="Arial"/>
                <w:b/>
                <w:bCs/>
                <w:color w:val="4A4A4A"/>
                <w:sz w:val="20"/>
                <w:szCs w:val="20"/>
              </w:rPr>
              <w:t xml:space="preserve">Node 3
Designing Cross-Border Reciprocity</w:t>
            </w:r>
          </w:p>
        </w:tc>
        <w:tc>
          <w:tcPr>
            <w:tcW w:type="dxa" w:w="180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Has completed Node 2; ready for collaborative design and values-level engagement</w:t>
            </w:r>
          </w:p>
        </w:tc>
        <w:tc>
          <w:tcPr>
            <w:tcW w:type="dxa" w:w="180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Cross-border token economy design workshop ("One Economy, Two Languages"): working groups design cross-border recognition of the four elements; cultural proxemic differences explicitly named and used as design input; shared meal as embodied reciprocal economy; Personal Quality Commitment cards in own language + shared cross-border commitment</w:t>
            </w:r>
          </w:p>
        </w:tc>
        <w:tc>
          <w:tcPr>
            <w:tcW w:type="dxa" w:w="180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Cross-border token economy design document (bilingual); shared meal documentation; bilateral Personal Quality Commitment (signed by both-side participants)</w:t>
            </w:r>
          </w:p>
        </w:tc>
        <w:tc>
          <w:tcPr>
            <w:tcW w:type="dxa" w:w="252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Cooperation, Reciprocity, and Mutualism tokens for shared meal and design session
VAG Bridge: "The meal crossed the border because you crossed the border first. What else that currently stops at the border would you like to see crossing it?"</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hd w:fill="1B4332" w:val="clear"/>
              <w:spacing w:before="40" w:after="40"/>
              <w:jc w:val="center"/>
            </w:pPr>
            <w:r>
              <w:rPr>
                <w:rFonts w:ascii="Arial" w:cs="Arial" w:eastAsia="Arial" w:hAnsi="Arial"/>
                <w:b/>
                <w:bCs/>
                <w:color w:val="FFFFFF"/>
                <w:sz w:val="18"/>
                <w:szCs w:val="18"/>
              </w:rPr>
              <w:t xml:space="preserve">ACTION</w:t>
            </w:r>
          </w:p>
          <w:p>
            <w:pPr>
              <w:spacing w:before="80" w:after="80"/>
              <w:jc w:val="left"/>
            </w:pPr>
            <w:r>
              <w:rPr>
                <w:rFonts w:ascii="Arial" w:cs="Arial" w:eastAsia="Arial" w:hAnsi="Arial"/>
                <w:b/>
                <w:bCs/>
                <w:color w:val="4A4A4A"/>
                <w:sz w:val="20"/>
                <w:szCs w:val="20"/>
              </w:rPr>
              <w:t xml:space="preserve">Node 4
Partnership as Infrastructure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Has completed Nodes 1–3; ready to formalise cross-border programme partnership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Cross-border quality principles document production (minimum 5 shared principles, bilingual); formal partnership proposal for INTERREG or bilateral programme funding; cross-border citizen science network design; exchange of facilitator roles (DE facilitator leads a session on Polish side; PL facilitator leads on German side)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Bilingual cross-border quality principles document (OER-licensed); partnership proposal framework; cross-border citizen science network protocol; documented reciprocal facilitation event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Regeneration token for OER document publication; Mutualism token for cross-border citizen science network; Regeneration token for reciprocal facilitation
VAG Bridge: "You now have a working document, a network, and a facilitation exchange. What is the one specific barrier that remains to making this a permanent programme? Who in the room has the power to address it?"</w:t>
            </w:r>
          </w:p>
        </w:tc>
      </w:tr>
    </w:tbl>
    <w:p>
      <w:pPr>
        <w:spacing w:before="40" w:after="40"/>
      </w:pPr>
      <w:r>
        <w:t xml:space="preserve"/>
      </w:r>
    </w:p>
    <w:p>
      <w:pPr>
        <w:pStyle w:val="Heading4"/>
        <w:spacing w:before="160" w:after="80"/>
      </w:pPr>
      <w:r>
        <w:rPr>
          <w:rFonts w:ascii="Arial" w:cs="Arial" w:eastAsia="Arial" w:hAnsi="Arial"/>
          <w:b/>
          <w:bCs/>
          <w:color w:val="4A4A4A"/>
          <w:sz w:val="22"/>
          <w:szCs w:val="22"/>
        </w:rPr>
        <w:t xml:space="preserve">Convergence Zones</w:t>
      </w:r>
    </w:p>
    <w:p>
      <w:pPr>
        <w:spacing w:before="80" w:after="120"/>
        <w:jc w:val="left"/>
      </w:pPr>
      <w:r>
        <w:rPr>
          <w:rFonts w:ascii="Arial" w:cs="Arial" w:eastAsia="Arial" w:hAnsi="Arial"/>
          <w:color w:val="4A4A4A"/>
          <w:sz w:val="22"/>
          <w:szCs w:val="22"/>
        </w:rPr>
        <w:t xml:space="preserve">The cross-border group’s iNaturalist and openSenseMap data (Nodes 2 and 4) extends the Erdpuls longitudinal dataset across the border, creating the most geographically expansive contribution to the bioregion commons of any target group. Their framework comparison work (Node 2) becomes a resource for the Artists &amp; Researchers pathway (Target Group 4), who integrate it into their non-standard cartographies. The cross-border facilitation exchange (Node 4) creates a permanent personnel link between Erdpuls and Polish partner sites, enabling future joint programming across all five target groups.</w:t>
      </w:r>
    </w:p>
    <w:p>
      <w:r>
        <w:br w:type="page"/>
      </w:r>
    </w:p>
    <w:p>
      <w:pPr>
        <w:pStyle w:val="Heading1"/>
        <w:spacing w:before="360" w:after="200"/>
      </w:pPr>
      <w:r>
        <w:rPr>
          <w:rFonts w:ascii="Arial" w:cs="Arial" w:eastAsia="Arial" w:hAnsi="Arial"/>
          <w:b/>
          <w:bCs/>
          <w:color w:val="1B4332"/>
          <w:sz w:val="36"/>
          <w:szCs w:val="36"/>
        </w:rPr>
        <w:t xml:space="preserve">Part 4 — Cross-Group Convergence Map</w:t>
      </w:r>
    </w:p>
    <w:p>
      <w:pPr>
        <w:spacing w:before="80" w:after="120"/>
        <w:jc w:val="left"/>
      </w:pPr>
      <w:r>
        <w:rPr>
          <w:rFonts w:ascii="Arial" w:cs="Arial" w:eastAsia="Arial" w:hAnsi="Arial"/>
          <w:color w:val="4A4A4A"/>
          <w:sz w:val="22"/>
          <w:szCs w:val="22"/>
        </w:rPr>
        <w:t xml:space="preserve">The table below maps the primary convergence zones across all five target group pathways, showing where groups interact, what token flows are generated, and which programme events serve as the structural site of convergence. These convergence zones are the programme’s highest-value learning moments, because they generate the multi-perspectival data, the intergenerational relationships, and the cross-cultural reciprocity that no single-group pathway can produce alone.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1480"/>
        <w:gridCol w:w="1480"/>
      </w:tblGrid>
      <w:tr>
        <w:trPr>
          <w:tblHeader/>
        </w:trPr>
        <w:tc>
          <w:tcPr>
            <w:tcW w:type="dxa" w:w="20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pPr>
              <w:spacing w:before="80" w:after="80"/>
              <w:jc w:val="left"/>
            </w:pPr>
            <w:r>
              <w:rPr>
                <w:rFonts w:ascii="Arial" w:cs="Arial" w:eastAsia="Arial" w:hAnsi="Arial"/>
                <w:b/>
                <w:bCs/>
                <w:color w:val="FFFFFF"/>
                <w:sz w:val="20"/>
                <w:szCs w:val="20"/>
              </w:rPr>
              <w:t xml:space="preserve">Programme Event</w:t>
            </w:r>
          </w:p>
        </w:tc>
        <w:tc>
          <w:tcPr>
            <w:tcW w:type="dxa" w:w="2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pPr>
              <w:spacing w:before="80" w:after="80"/>
              <w:jc w:val="left"/>
            </w:pPr>
            <w:r>
              <w:rPr>
                <w:rFonts w:ascii="Arial" w:cs="Arial" w:eastAsia="Arial" w:hAnsi="Arial"/>
                <w:b/>
                <w:bCs/>
                <w:color w:val="FFFFFF"/>
                <w:sz w:val="20"/>
                <w:szCs w:val="20"/>
              </w:rPr>
              <w:t xml:space="preserve">Groups Converging</w:t>
            </w:r>
          </w:p>
        </w:tc>
        <w:tc>
          <w:tcPr>
            <w:tcW w:type="dxa" w:w="2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pPr>
              <w:spacing w:before="80" w:after="80"/>
              <w:jc w:val="left"/>
            </w:pPr>
            <w:r>
              <w:rPr>
                <w:rFonts w:ascii="Arial" w:cs="Arial" w:eastAsia="Arial" w:hAnsi="Arial"/>
                <w:b/>
                <w:bCs/>
                <w:color w:val="FFFFFF"/>
                <w:sz w:val="20"/>
                <w:szCs w:val="20"/>
              </w:rPr>
              <w:t xml:space="preserve">What is Exchanged</w:t>
            </w:r>
          </w:p>
        </w:tc>
        <w:tc>
          <w:tcPr>
            <w:tcW w:type="dxa" w:w="148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pPr>
              <w:spacing w:before="80" w:after="80"/>
              <w:jc w:val="left"/>
            </w:pPr>
            <w:r>
              <w:rPr>
                <w:rFonts w:ascii="Arial" w:cs="Arial" w:eastAsia="Arial" w:hAnsi="Arial"/>
                <w:b/>
                <w:bCs/>
                <w:color w:val="FFFFFF"/>
                <w:sz w:val="20"/>
                <w:szCs w:val="20"/>
              </w:rPr>
              <w:t xml:space="preserve">Token Flow</w:t>
            </w:r>
          </w:p>
        </w:tc>
        <w:tc>
          <w:tcPr>
            <w:tcW w:type="dxa" w:w="148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pPr>
              <w:spacing w:before="80" w:after="80"/>
              <w:jc w:val="left"/>
            </w:pPr>
            <w:r>
              <w:rPr>
                <w:rFonts w:ascii="Arial" w:cs="Arial" w:eastAsia="Arial" w:hAnsi="Arial"/>
                <w:b/>
                <w:bCs/>
                <w:color w:val="FFFFFF"/>
                <w:sz w:val="20"/>
                <w:szCs w:val="20"/>
              </w:rPr>
              <w:t xml:space="preserve">Pathway Nodes</w:t>
            </w:r>
          </w:p>
        </w:tc>
      </w:tr>
      <w:tr>
        <w:tc>
          <w:tcPr>
            <w:tcW w:type="dxa" w:w="200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pPr>
              <w:spacing w:before="80" w:after="80"/>
              <w:jc w:val="left"/>
            </w:pPr>
            <w:r>
              <w:rPr>
                <w:rFonts w:ascii="Arial" w:cs="Arial" w:eastAsia="Arial" w:hAnsi="Arial"/>
                <w:b/>
                <w:bCs/>
                <w:color w:val="4A4A4A"/>
                <w:sz w:val="20"/>
                <w:szCs w:val="20"/>
              </w:rPr>
              <w:t xml:space="preserve">Memory Market</w:t>
            </w:r>
          </w:p>
        </w:tc>
        <w:tc>
          <w:tcPr>
            <w:tcW w:type="dxa" w:w="220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Elders (TG3) + Children/Youth (TG1) + Adults (TG2)</w:t>
            </w:r>
          </w:p>
        </w:tc>
        <w:tc>
          <w:tcPr>
            <w:tcW w:type="dxa" w:w="220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Elder landscape knowledge ↔ data documentation skills ↔ intergenerational care</w:t>
            </w:r>
          </w:p>
        </w:tc>
        <w:tc>
          <w:tcPr>
            <w:tcW w:type="dxa" w:w="148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Reciprocity + Mutualism (all directions)</w:t>
            </w:r>
          </w:p>
        </w:tc>
        <w:tc>
          <w:tcPr>
            <w:tcW w:type="dxa" w:w="148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TG1: N3/N4
TG2: N3
TG3: N2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jc w:val="left"/>
            </w:pPr>
            <w:r>
              <w:rPr>
                <w:rFonts w:ascii="Arial" w:cs="Arial" w:eastAsia="Arial" w:hAnsi="Arial"/>
                <w:b/>
                <w:bCs/>
                <w:color w:val="4A4A4A"/>
                <w:sz w:val="20"/>
                <w:szCs w:val="20"/>
              </w:rPr>
              <w:t xml:space="preserve">Seasonal Observational Cycle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All five groups (sequential, same soil patch)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Spring baseline (TG1) → summer depth (TG2) → sustained practice (TG4) → elder memory (TG3) → cross-border extension (TG5)</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Mutualism tokens for all data contributions to commons</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Each group: N2–N3</w:t>
            </w:r>
          </w:p>
        </w:tc>
      </w:tr>
      <w:tr>
        <w:tc>
          <w:tcPr>
            <w:tcW w:type="dxa" w:w="200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pPr>
              <w:spacing w:before="80" w:after="80"/>
              <w:jc w:val="left"/>
            </w:pPr>
            <w:r>
              <w:rPr>
                <w:rFonts w:ascii="Arial" w:cs="Arial" w:eastAsia="Arial" w:hAnsi="Arial"/>
                <w:b/>
                <w:bCs/>
                <w:color w:val="4A4A4A"/>
                <w:sz w:val="20"/>
                <w:szCs w:val="20"/>
              </w:rPr>
              <w:t xml:space="preserve">Repair Café</w:t>
            </w:r>
          </w:p>
        </w:tc>
        <w:tc>
          <w:tcPr>
            <w:tcW w:type="dxa" w:w="220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Adults/Families (TG2) + Elders (TG3) + Youth (TG1, advanced)</w:t>
            </w:r>
          </w:p>
        </w:tc>
        <w:tc>
          <w:tcPr>
            <w:tcW w:type="dxa" w:w="220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Craft knowledge (Elders) ↔ repair skills (Adults) ↔ technical curiosity (Youth)</w:t>
            </w:r>
          </w:p>
        </w:tc>
        <w:tc>
          <w:tcPr>
            <w:tcW w:type="dxa" w:w="148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Reciprocity + Regeneration (repaired objects)</w:t>
            </w:r>
          </w:p>
        </w:tc>
        <w:tc>
          <w:tcPr>
            <w:tcW w:type="dxa" w:w="148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TG1: N4
TG2: N3/N4
TG3: N3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jc w:val="left"/>
            </w:pPr>
            <w:r>
              <w:rPr>
                <w:rFonts w:ascii="Arial" w:cs="Arial" w:eastAsia="Arial" w:hAnsi="Arial"/>
                <w:b/>
                <w:bCs/>
                <w:color w:val="4A4A4A"/>
                <w:sz w:val="20"/>
                <w:szCs w:val="20"/>
              </w:rPr>
              <w:t xml:space="preserve">Annual Pattern Language Assembly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All five groups + facilitators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Pattern cards from all groups synthesised into coherent place-specific language; elder authentication; artist-researcher integration</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Mutualism tokens for all contributions; Regeneration for Assembly co-facilitation</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All groups: N4</w:t>
            </w:r>
          </w:p>
        </w:tc>
      </w:tr>
      <w:tr>
        <w:tc>
          <w:tcPr>
            <w:tcW w:type="dxa" w:w="200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pPr>
              <w:spacing w:before="80" w:after="80"/>
              <w:jc w:val="left"/>
            </w:pPr>
            <w:r>
              <w:rPr>
                <w:rFonts w:ascii="Arial" w:cs="Arial" w:eastAsia="Arial" w:hAnsi="Arial"/>
                <w:b/>
                <w:bCs/>
                <w:color w:val="4A4A4A"/>
                <w:sz w:val="20"/>
                <w:szCs w:val="20"/>
              </w:rPr>
              <w:t xml:space="preserve">Community Integration Session (Residency)</w:t>
            </w:r>
          </w:p>
        </w:tc>
        <w:tc>
          <w:tcPr>
            <w:tcW w:type="dxa" w:w="220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Artists/Researchers (TG4) + any other group</w:t>
            </w:r>
          </w:p>
        </w:tc>
        <w:tc>
          <w:tcPr>
            <w:tcW w:type="dxa" w:w="220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Professional research or artistic practice ↔ embodied local knowledge; defamiliarisation ↔ intimacy with place</w:t>
            </w:r>
          </w:p>
        </w:tc>
        <w:tc>
          <w:tcPr>
            <w:tcW w:type="dxa" w:w="148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Reciprocity tokens (bidirectional)</w:t>
            </w:r>
          </w:p>
        </w:tc>
        <w:tc>
          <w:tcPr>
            <w:tcW w:type="dxa" w:w="148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TG4: N3
Other: varies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jc w:val="left"/>
            </w:pPr>
            <w:r>
              <w:rPr>
                <w:rFonts w:ascii="Arial" w:cs="Arial" w:eastAsia="Arial" w:hAnsi="Arial"/>
                <w:b/>
                <w:bCs/>
                <w:color w:val="4A4A4A"/>
                <w:sz w:val="20"/>
                <w:szCs w:val="20"/>
              </w:rPr>
              <w:t xml:space="preserve">Cross-Border Facilitation Exchange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Cross-Border DE/PL (TG5) + any facilitated group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Polish facilitation methods ↔ German programme structure; cross-border bioregion data extension</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Mutualism + Regeneration (network creation)</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jc w:val="left"/>
            </w:pPr>
            <w:r>
              <w:rPr>
                <w:rFonts w:ascii="Arial" w:cs="Arial" w:eastAsia="Arial" w:hAnsi="Arial"/>
                <w:color w:val="4A4A4A"/>
                <w:sz w:val="20"/>
                <w:szCs w:val="20"/>
              </w:rPr>
              <w:t xml:space="preserve">TG5: N4
Facilitated group: varies</w:t>
            </w:r>
          </w:p>
        </w:tc>
      </w:tr>
    </w:tbl>
    <w:p>
      <w:pPr>
        <w:spacing w:before="40" w:after="40"/>
      </w:pPr>
      <w:r>
        <w:t xml:space="preserve"/>
      </w:r>
    </w:p>
    <w:p>
      <w:pPr>
        <w:spacing w:before="40" w:after="40"/>
      </w:pPr>
      <w:r>
        <w:t xml:space="preserve"/>
      </w:r>
    </w:p>
    <w:p>
      <w:pPr>
        <w:pBdr>
          <w:bottom w:val="single" w:color="52B788" w:sz="6" w:space="1"/>
        </w:pBdr>
        <w:spacing w:before="200" w:after="200"/>
      </w:pPr>
      <w:r>
        <w:rPr>
          <w:rFonts w:ascii="Arial" w:cs="Arial" w:eastAsia="Arial" w:hAnsi="Arial"/>
          <w:color w:val="4A4A4A"/>
          <w:sz w:val="22"/>
          <w:szCs w:val="22"/>
        </w:rPr>
        <w:t xml:space="preserve"/>
      </w:r>
    </w:p>
    <w:p>
      <w:pPr>
        <w:spacing w:before="120" w:after="60"/>
        <w:jc w:val="center"/>
      </w:pPr>
      <w:r>
        <w:rPr>
          <w:rFonts w:ascii="Arial" w:cs="Arial" w:eastAsia="Arial" w:hAnsi="Arial"/>
          <w:color w:val="8A8A8A"/>
          <w:sz w:val="18"/>
          <w:szCs w:val="18"/>
        </w:rPr>
        <w:t xml:space="preserve">© 2025–2026 Erdpuls Müllrose — Center for Sustainability Literacy, Citizen Science &amp; Reciprocal Economics</w:t>
      </w:r>
    </w:p>
    <w:p>
      <w:pPr>
        <w:spacing w:before="0" w:after="60"/>
        <w:jc w:val="center"/>
      </w:pPr>
      <w:r>
        <w:rPr>
          <w:rFonts w:ascii="Arial" w:cs="Arial" w:eastAsia="Arial" w:hAnsi="Arial"/>
          <w:color w:val="8A8A8A"/>
          <w:sz w:val="18"/>
          <w:szCs w:val="18"/>
        </w:rPr>
        <w:t xml:space="preserve">Licensed under CC BY-NC-SA 4.0 | erdpuls@ubec.network | https://erdpuls.ubec.network</w:t>
      </w:r>
    </w:p>
    <w:p>
      <w:pPr>
        <w:spacing w:before="0" w:after="0"/>
        <w:jc w:val="center"/>
      </w:pPr>
      <w:r>
        <w:rPr>
          <w:rFonts w:ascii="Arial" w:cs="Arial" w:eastAsia="Arial" w:hAnsi="Arial"/>
          <w:color w:val="8A8A8A"/>
          <w:sz w:val="18"/>
          <w:szCs w:val="18"/>
        </w:rPr>
        <w:t xml:space="preserve">Developed with assistance from Claude (Anthropic PBC). All strategic decisions and project commitments are those of the author.</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2B788" w:sz="4"/>
      </w:pBdr>
      <w:spacing w:before="100"/>
      <w:jc w:val="center"/>
    </w:pPr>
    <w:r>
      <w:rPr>
        <w:rFonts w:ascii="Arial" w:cs="Arial" w:eastAsia="Arial" w:hAnsi="Arial"/>
        <w:color w:val="8A8A8A"/>
        <w:sz w:val="18"/>
        <w:szCs w:val="18"/>
      </w:rPr>
      <w:t xml:space="preserve">erdpuls@ubec.network · https://erdpuls.ubec.network</w:t>
    </w:r>
    <w:r>
      <w:rPr>
        <w:rFonts w:ascii="Arial" w:cs="Arial" w:eastAsia="Arial" w:hAnsi="Arial"/>
        <w:color w:val="4A4A4A"/>
        <w:sz w:val="18"/>
        <w:szCs w:val="18"/>
      </w:rPr>
      <w:t xml:space="preserve">        </w:t>
    </w:r>
    <w:r>
      <w:rPr>
        <w:rFonts w:ascii="Arial" w:cs="Arial" w:eastAsia="Arial" w:hAnsi="Arial"/>
        <w:color w:val="8A8A8A"/>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2B788" w:sz="4"/>
      </w:pBdr>
      <w:spacing w:after="100"/>
    </w:pPr>
    <w:r>
      <w:rPr>
        <w:rFonts w:ascii="Arial" w:cs="Arial" w:eastAsia="Arial" w:hAnsi="Arial"/>
        <w:color w:val="8A8A8A"/>
        <w:sz w:val="18"/>
        <w:szCs w:val="18"/>
      </w:rPr>
      <w:t xml:space="preserve">Erdpuls Müllrose — Learning Pathway System</w:t>
    </w:r>
    <w:r>
      <w:rPr>
        <w:rFonts w:ascii="Arial" w:cs="Arial" w:eastAsia="Arial" w:hAnsi="Arial"/>
        <w:color w:val="8A8A8A"/>
        <w:sz w:val="18"/>
        <w:szCs w:val="18"/>
      </w:rPr>
      <w:t xml:space="preserve">   |   </w:t>
    </w:r>
    <w:r>
      <w:rPr>
        <w:rFonts w:ascii="Arial" w:cs="Arial" w:eastAsia="Arial" w:hAnsi="Arial"/>
        <w:color w:val="8A8A8A"/>
        <w:sz w:val="18"/>
        <w:szCs w:val="18"/>
      </w:rPr>
      <w:t xml:space="preserve">CC BY-NC-SA 4.0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332"/>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D6A4F"/>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D6A4F"/>
      <w:sz w:val="24"/>
      <w:szCs w:val="24"/>
    </w:rPr>
  </w:style>
  <w:style w:type="paragraph" w:styleId="Heading4">
    <w:name w:val="Heading 4"/>
    <w:basedOn w:val="Normal"/>
    <w:next w:val="Normal"/>
    <w:qFormat/>
    <w:pPr>
      <w:spacing w:before="160" w:after="80"/>
      <w:outlineLvl w:val="3"/>
    </w:pPr>
    <w:rPr>
      <w:rFonts w:ascii="Arial" w:cs="Arial" w:eastAsia="Arial" w:hAnsi="Arial"/>
      <w:b/>
      <w:bCs/>
      <w:color w:val="4A4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2026-02-27T04:46:20.756Z</dcterms:created>
  <dcterms:modified xsi:type="dcterms:W3CDTF">2026-02-27T04:46:20.757Z</dcterms:modified>
</cp:coreProperties>
</file>

<file path=docProps/custom.xml><?xml version="1.0" encoding="utf-8"?>
<Properties xmlns="http://schemas.openxmlformats.org/officeDocument/2006/custom-properties" xmlns:vt="http://schemas.openxmlformats.org/officeDocument/2006/docPropsVTypes"/>
</file>