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40"/>
        <w:jc w:val="center"/>
      </w:pPr>
      <w:r>
        <w:rPr>
          <w:b/>
          <w:bCs/>
          <w:color w:val="2E5A6B"/>
          <w:sz w:val="68"/>
          <w:szCs w:val="68"/>
        </w:rPr>
        <w:t xml:space="preserve">MYCONDUCTOR</w:t>
      </w:r>
    </w:p>
    <w:p>
      <w:pPr>
        <w:spacing w:after="260"/>
        <w:jc w:val="center"/>
      </w:pPr>
      <w:r>
        <w:rPr>
          <w:color w:val="1A1A1A"/>
          <w:sz w:val="26"/>
          <w:szCs w:val="26"/>
        </w:rPr>
        <w:t xml:space="preserve">An organism-agnostic orchestration layer for antimicrobial resistance genomics</w:t>
      </w:r>
    </w:p>
    <w:p>
      <w:pPr>
        <w:pBdr>
          <w:top w:val="single" w:color="6E4B8A" w:sz="6"/>
          <w:bottom w:val="single" w:color="6E4B8A" w:sz="6"/>
        </w:pBdr>
        <w:spacing w:after="40"/>
        <w:jc w:val="center"/>
      </w:pPr>
      <w:r>
        <w:rPr>
          <w:b/>
          <w:bCs/>
          <w:color w:val="6E4B8A"/>
          <w:sz w:val="22"/>
          <w:szCs w:val="22"/>
        </w:rPr>
        <w:t xml:space="preserve">  Implementation Science  ·  Scientific Research  ·  Product Functional Specification  </w:t>
      </w:r>
      <w:r>
        <w:rPr>
          <w:sz w:val="22"/>
          <w:szCs w:val="22"/>
        </w:rPr>
        <w:t xml:space="preserve"/>
      </w:r>
    </w:p>
    <w:p>
      <w:pPr>
        <w:spacing w:before="1600"/>
      </w:pPr>
    </w:p>
    <w:p>
      <w:pPr>
        <w:spacing w:after="30"/>
        <w:jc w:val="center"/>
      </w:pPr>
      <w:r>
        <w:rPr>
          <w:i/>
          <w:iCs/>
          <w:color w:val="5F5E5A"/>
          <w:sz w:val="20"/>
          <w:szCs w:val="20"/>
        </w:rPr>
        <w:t xml:space="preserve">Reference distribution: the mycobacterial profile (incl. Mycobacterium tuberculosis)</w:t>
      </w:r>
    </w:p>
    <w:p>
      <w:pPr>
        <w:spacing w:after="30"/>
        <w:jc w:val="center"/>
      </w:pPr>
      <w:r>
        <w:rPr>
          <w:color w:val="5F5E5A"/>
          <w:sz w:val="20"/>
          <w:szCs w:val="20"/>
        </w:rPr>
        <w:t xml:space="preserve">Version 0.1  ·  Draft for review  ·  2026-09-13</w:t>
      </w:r>
    </w:p>
    <w:p>
      <w:pPr>
        <w:spacing w:after="30"/>
        <w:jc w:val="center"/>
      </w:pPr>
      <w:r>
        <w:rPr>
          <w:color w:val="9A3B2E"/>
          <w:sz w:val="20"/>
          <w:szCs w:val="20"/>
        </w:rPr>
        <w:t xml:space="preserve">Classification: Research &amp; decision-support scaffold — not a clinical device</w:t>
      </w:r>
    </w:p>
    <w:p>
      <w:r>
        <w:br w:type="page"/>
      </w:r>
    </w:p>
    <w:p>
      <w:pPr>
        <w:pStyle w:val="Heading1"/>
        <w:spacing w:after="140" w:before="320"/>
      </w:pPr>
      <w:r>
        <w:rPr>
          <w:b/>
          <w:bCs/>
          <w:color w:val="2E5A6B"/>
          <w:sz w:val="30"/>
          <w:szCs w:val="30"/>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before="0" w:line="276"/>
      </w:pPr>
      <w:r>
        <w:rPr>
          <w:color w:val="5F5E5A"/>
          <w:sz w:val="21"/>
          <w:szCs w:val="21"/>
        </w:rPr>
        <w:t xml:space="preserve">If the table above is blank, open in Word and choose </w:t>
      </w:r>
      <w:r>
        <w:rPr>
          <w:b/>
          <w:bCs/>
          <w:color w:val="5F5E5A"/>
          <w:sz w:val="21"/>
          <w:szCs w:val="21"/>
        </w:rPr>
        <w:t xml:space="preserve">References → Update Table</w:t>
      </w:r>
      <w:r>
        <w:rPr>
          <w:color w:val="5F5E5A"/>
          <w:sz w:val="21"/>
          <w:szCs w:val="21"/>
        </w:rPr>
        <w:t xml:space="preserve"> (or press F9). Headings are tagged for automatic generation.</w:t>
      </w:r>
    </w:p>
    <w:p>
      <w:r>
        <w:br w:type="page"/>
      </w:r>
    </w:p>
    <w:p>
      <w:pPr>
        <w:pStyle w:val="Heading1"/>
        <w:spacing w:after="140" w:before="320"/>
      </w:pPr>
      <w:r>
        <w:rPr>
          <w:b/>
          <w:bCs/>
          <w:color w:val="2E5A6B"/>
          <w:sz w:val="30"/>
          <w:szCs w:val="30"/>
        </w:rPr>
        <w:t xml:space="preserve">Document control</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600"/>
        <w:gridCol w:w="6760"/>
      </w:tblGrid>
      <w:tr>
        <w:trPr>
          <w:tblHeader/>
        </w:trPr>
        <w:tc>
          <w:tcPr>
            <w:tcW w:type="dxa" w:w="2600"/>
            <w:shd w:fill="E9EEF0" w:color="auto" w:val="clear"/>
            <w:tcMar>
              <w:top w:type="dxa" w:w="60"/>
              <w:left w:type="dxa" w:w="90"/>
              <w:bottom w:type="dxa" w:w="60"/>
              <w:right w:type="dxa" w:w="90"/>
            </w:tcMar>
          </w:tcPr>
          <w:p>
            <w:pPr>
              <w:spacing w:after="20" w:line="250"/>
            </w:pPr>
            <w:r>
              <w:rPr>
                <w:b/>
                <w:bCs/>
                <w:color w:val="1A1A1A"/>
                <w:sz w:val="19"/>
                <w:szCs w:val="19"/>
              </w:rPr>
              <w:t xml:space="preserve">Field</w:t>
            </w:r>
          </w:p>
        </w:tc>
        <w:tc>
          <w:tcPr>
            <w:tcW w:type="dxa" w:w="6760"/>
            <w:shd w:fill="E9EEF0" w:color="auto" w:val="clear"/>
            <w:tcMar>
              <w:top w:type="dxa" w:w="60"/>
              <w:left w:type="dxa" w:w="90"/>
              <w:bottom w:type="dxa" w:w="60"/>
              <w:right w:type="dxa" w:w="90"/>
            </w:tcMar>
          </w:tcPr>
          <w:p>
            <w:pPr>
              <w:spacing w:after="20" w:line="250"/>
            </w:pPr>
            <w:r>
              <w:rPr>
                <w:b/>
                <w:bCs/>
                <w:color w:val="1A1A1A"/>
                <w:sz w:val="19"/>
                <w:szCs w:val="19"/>
              </w:rPr>
              <w:t xml:space="preserve">Value</w:t>
            </w:r>
          </w:p>
        </w:tc>
      </w:tr>
      <w:tr>
        <w:tc>
          <w:tcPr>
            <w:tcW w:type="dxa" w:w="2600"/>
            <w:tcMar>
              <w:top w:type="dxa" w:w="60"/>
              <w:left w:type="dxa" w:w="90"/>
              <w:bottom w:type="dxa" w:w="60"/>
              <w:right w:type="dxa" w:w="90"/>
            </w:tcMar>
          </w:tcPr>
          <w:p>
            <w:pPr>
              <w:spacing w:after="20" w:line="250"/>
            </w:pPr>
            <w:r>
              <w:rPr>
                <w:color w:val="1A1A1A"/>
                <w:sz w:val="19"/>
                <w:szCs w:val="19"/>
              </w:rPr>
              <w:t xml:space="preserve">Product</w:t>
            </w:r>
          </w:p>
        </w:tc>
        <w:tc>
          <w:tcPr>
            <w:tcW w:type="dxa" w:w="6760"/>
            <w:tcMar>
              <w:top w:type="dxa" w:w="60"/>
              <w:left w:type="dxa" w:w="90"/>
              <w:bottom w:type="dxa" w:w="60"/>
              <w:right w:type="dxa" w:w="90"/>
            </w:tcMar>
          </w:tcPr>
          <w:p>
            <w:pPr>
              <w:spacing w:after="20" w:line="250"/>
            </w:pPr>
            <w:r>
              <w:rPr>
                <w:color w:val="1A1A1A"/>
                <w:sz w:val="19"/>
                <w:szCs w:val="19"/>
              </w:rPr>
              <w:t xml:space="preserve">Myconductor — AMR genomics orchestration layer</w:t>
            </w:r>
          </w:p>
        </w:tc>
      </w:tr>
      <w:tr>
        <w:tc>
          <w:tcPr>
            <w:tcW w:type="dxa" w:w="2600"/>
            <w:shd w:fill="F4F6F7" w:color="auto" w:val="clear"/>
            <w:tcMar>
              <w:top w:type="dxa" w:w="60"/>
              <w:left w:type="dxa" w:w="90"/>
              <w:bottom w:type="dxa" w:w="60"/>
              <w:right w:type="dxa" w:w="90"/>
            </w:tcMar>
          </w:tcPr>
          <w:p>
            <w:pPr>
              <w:spacing w:after="20" w:line="250"/>
            </w:pPr>
            <w:r>
              <w:rPr>
                <w:color w:val="1A1A1A"/>
                <w:sz w:val="19"/>
                <w:szCs w:val="19"/>
              </w:rPr>
              <w:t xml:space="preserve">Document type</w:t>
            </w:r>
          </w:p>
        </w:tc>
        <w:tc>
          <w:tcPr>
            <w:tcW w:type="dxa" w:w="6760"/>
            <w:shd w:fill="F4F6F7" w:color="auto" w:val="clear"/>
            <w:tcMar>
              <w:top w:type="dxa" w:w="60"/>
              <w:left w:type="dxa" w:w="90"/>
              <w:bottom w:type="dxa" w:w="60"/>
              <w:right w:type="dxa" w:w="90"/>
            </w:tcMar>
          </w:tcPr>
          <w:p>
            <w:pPr>
              <w:spacing w:after="20" w:line="250"/>
            </w:pPr>
            <w:r>
              <w:rPr>
                <w:color w:val="1A1A1A"/>
                <w:sz w:val="19"/>
                <w:szCs w:val="19"/>
              </w:rPr>
              <w:t xml:space="preserve">Combined implementation-science brief, research protocol summary, and functional specification</w:t>
            </w:r>
          </w:p>
        </w:tc>
      </w:tr>
      <w:tr>
        <w:tc>
          <w:tcPr>
            <w:tcW w:type="dxa" w:w="2600"/>
            <w:tcMar>
              <w:top w:type="dxa" w:w="60"/>
              <w:left w:type="dxa" w:w="90"/>
              <w:bottom w:type="dxa" w:w="60"/>
              <w:right w:type="dxa" w:w="90"/>
            </w:tcMar>
          </w:tcPr>
          <w:p>
            <w:pPr>
              <w:spacing w:after="20" w:line="250"/>
            </w:pPr>
            <w:r>
              <w:rPr>
                <w:color w:val="1A1A1A"/>
                <w:sz w:val="19"/>
                <w:szCs w:val="19"/>
              </w:rPr>
              <w:t xml:space="preserve">Version / status</w:t>
            </w:r>
          </w:p>
        </w:tc>
        <w:tc>
          <w:tcPr>
            <w:tcW w:type="dxa" w:w="6760"/>
            <w:tcMar>
              <w:top w:type="dxa" w:w="60"/>
              <w:left w:type="dxa" w:w="90"/>
              <w:bottom w:type="dxa" w:w="60"/>
              <w:right w:type="dxa" w:w="90"/>
            </w:tcMar>
          </w:tcPr>
          <w:p>
            <w:pPr>
              <w:spacing w:after="20" w:line="250"/>
            </w:pPr>
            <w:r>
              <w:rPr>
                <w:color w:val="1A1A1A"/>
                <w:sz w:val="19"/>
                <w:szCs w:val="19"/>
              </w:rPr>
              <w:t xml:space="preserve">0.1 — Draft for review</w:t>
            </w:r>
          </w:p>
        </w:tc>
      </w:tr>
      <w:tr>
        <w:tc>
          <w:tcPr>
            <w:tcW w:type="dxa" w:w="2600"/>
            <w:shd w:fill="F4F6F7" w:color="auto" w:val="clear"/>
            <w:tcMar>
              <w:top w:type="dxa" w:w="60"/>
              <w:left w:type="dxa" w:w="90"/>
              <w:bottom w:type="dxa" w:w="60"/>
              <w:right w:type="dxa" w:w="90"/>
            </w:tcMar>
          </w:tcPr>
          <w:p>
            <w:pPr>
              <w:spacing w:after="20" w:line="250"/>
            </w:pPr>
            <w:r>
              <w:rPr>
                <w:color w:val="1A1A1A"/>
                <w:sz w:val="19"/>
                <w:szCs w:val="19"/>
              </w:rPr>
              <w:t xml:space="preserve">Intended audience</w:t>
            </w:r>
          </w:p>
        </w:tc>
        <w:tc>
          <w:tcPr>
            <w:tcW w:type="dxa" w:w="6760"/>
            <w:shd w:fill="F4F6F7" w:color="auto" w:val="clear"/>
            <w:tcMar>
              <w:top w:type="dxa" w:w="60"/>
              <w:left w:type="dxa" w:w="90"/>
              <w:bottom w:type="dxa" w:w="60"/>
              <w:right w:type="dxa" w:w="90"/>
            </w:tcMar>
          </w:tcPr>
          <w:p>
            <w:pPr>
              <w:spacing w:after="20" w:line="250"/>
            </w:pPr>
            <w:r>
              <w:rPr>
                <w:color w:val="1A1A1A"/>
                <w:sz w:val="19"/>
                <w:szCs w:val="19"/>
              </w:rPr>
              <w:t xml:space="preserve">Bioinformaticians, clinical microbiologists, implementation/public-health teams, product &amp; engineering, funders and reviewers</w:t>
            </w:r>
          </w:p>
        </w:tc>
      </w:tr>
      <w:tr>
        <w:tc>
          <w:tcPr>
            <w:tcW w:type="dxa" w:w="2600"/>
            <w:tcMar>
              <w:top w:type="dxa" w:w="60"/>
              <w:left w:type="dxa" w:w="90"/>
              <w:bottom w:type="dxa" w:w="60"/>
              <w:right w:type="dxa" w:w="90"/>
            </w:tcMar>
          </w:tcPr>
          <w:p>
            <w:pPr>
              <w:spacing w:after="20" w:line="250"/>
            </w:pPr>
            <w:r>
              <w:rPr>
                <w:color w:val="1A1A1A"/>
                <w:sz w:val="19"/>
                <w:szCs w:val="19"/>
              </w:rPr>
              <w:t xml:space="preserve">Scope statement</w:t>
            </w:r>
          </w:p>
        </w:tc>
        <w:tc>
          <w:tcPr>
            <w:tcW w:type="dxa" w:w="6760"/>
            <w:tcMar>
              <w:top w:type="dxa" w:w="60"/>
              <w:left w:type="dxa" w:w="90"/>
              <w:bottom w:type="dxa" w:w="60"/>
              <w:right w:type="dxa" w:w="90"/>
            </w:tcMar>
          </w:tcPr>
          <w:p>
            <w:pPr>
              <w:spacing w:after="20" w:line="250"/>
            </w:pPr>
            <w:r>
              <w:rPr>
                <w:color w:val="1A1A1A"/>
                <w:sz w:val="19"/>
                <w:szCs w:val="19"/>
              </w:rPr>
              <w:t xml:space="preserve">Organism-agnostic orchestration engine with pluggable organism profiles; mycobacteria are the reference profile and the only profile validated in this release</w:t>
            </w:r>
          </w:p>
        </w:tc>
      </w:tr>
      <w:tr>
        <w:tc>
          <w:tcPr>
            <w:tcW w:type="dxa" w:w="2600"/>
            <w:shd w:fill="F4F6F7" w:color="auto" w:val="clear"/>
            <w:tcMar>
              <w:top w:type="dxa" w:w="60"/>
              <w:left w:type="dxa" w:w="90"/>
              <w:bottom w:type="dxa" w:w="60"/>
              <w:right w:type="dxa" w:w="90"/>
            </w:tcMar>
          </w:tcPr>
          <w:p>
            <w:pPr>
              <w:spacing w:after="20" w:line="250"/>
            </w:pPr>
            <w:r>
              <w:rPr>
                <w:color w:val="1A1A1A"/>
                <w:sz w:val="19"/>
                <w:szCs w:val="19"/>
              </w:rPr>
              <w:t xml:space="preserve">Regulatory posture</w:t>
            </w:r>
          </w:p>
        </w:tc>
        <w:tc>
          <w:tcPr>
            <w:tcW w:type="dxa" w:w="6760"/>
            <w:shd w:fill="F4F6F7" w:color="auto" w:val="clear"/>
            <w:tcMar>
              <w:top w:type="dxa" w:w="60"/>
              <w:left w:type="dxa" w:w="90"/>
              <w:bottom w:type="dxa" w:w="60"/>
              <w:right w:type="dxa" w:w="90"/>
            </w:tcMar>
          </w:tcPr>
          <w:p>
            <w:pPr>
              <w:spacing w:after="20" w:line="250"/>
            </w:pPr>
            <w:r>
              <w:rPr>
                <w:color w:val="1A1A1A"/>
                <w:sz w:val="19"/>
                <w:szCs w:val="19"/>
              </w:rPr>
              <w:t xml:space="preserve">Research use and clinical decision support only; not a diagnostic device; not for autonomous clinical action</w:t>
            </w:r>
          </w:p>
        </w:tc>
      </w:tr>
      <w:tr>
        <w:tc>
          <w:tcPr>
            <w:tcW w:type="dxa" w:w="2600"/>
            <w:tcMar>
              <w:top w:type="dxa" w:w="60"/>
              <w:left w:type="dxa" w:w="90"/>
              <w:bottom w:type="dxa" w:w="60"/>
              <w:right w:type="dxa" w:w="90"/>
            </w:tcMar>
          </w:tcPr>
          <w:p>
            <w:pPr>
              <w:spacing w:after="20" w:line="250"/>
            </w:pPr>
            <w:r>
              <w:rPr>
                <w:color w:val="1A1A1A"/>
                <w:sz w:val="19"/>
                <w:szCs w:val="19"/>
              </w:rPr>
              <w:t xml:space="preserve">Change control</w:t>
            </w:r>
          </w:p>
        </w:tc>
        <w:tc>
          <w:tcPr>
            <w:tcW w:type="dxa" w:w="6760"/>
            <w:tcMar>
              <w:top w:type="dxa" w:w="60"/>
              <w:left w:type="dxa" w:w="90"/>
              <w:bottom w:type="dxa" w:w="60"/>
              <w:right w:type="dxa" w:w="90"/>
            </w:tcMar>
          </w:tcPr>
          <w:p>
            <w:pPr>
              <w:spacing w:after="20" w:line="250"/>
            </w:pPr>
            <w:r>
              <w:rPr>
                <w:color w:val="1A1A1A"/>
                <w:sz w:val="19"/>
                <w:szCs w:val="19"/>
              </w:rPr>
              <w:t xml:space="preserve">Semantic versioning; catalogue and model artefacts versioned and recorded in every report's provenance block</w:t>
            </w:r>
          </w:p>
        </w:tc>
      </w:tr>
    </w:tbl>
    <w:p>
      <w:pPr>
        <w:spacing w:after="80"/>
      </w:pPr>
    </w:p>
    <w:p>
      <w:pPr>
        <w:pStyle w:val="Heading1"/>
        <w:spacing w:after="140" w:before="320"/>
      </w:pPr>
      <w:r>
        <w:rPr>
          <w:b/>
          <w:bCs/>
          <w:color w:val="2E5A6B"/>
          <w:sz w:val="30"/>
          <w:szCs w:val="30"/>
        </w:rPr>
        <w:t xml:space="preserve">1. Executive summary</w:t>
      </w:r>
    </w:p>
    <w:p>
      <w:pPr>
        <w:spacing w:after="120" w:before="0" w:line="276"/>
      </w:pPr>
      <w:r>
        <w:rPr>
          <w:b/>
          <w:bCs/>
          <w:color w:val="1A1A1A"/>
          <w:sz w:val="21"/>
          <w:szCs w:val="21"/>
        </w:rPr>
        <w:t xml:space="preserve">The problem. </w:t>
      </w:r>
      <w:r>
        <w:rPr>
          <w:color w:val="1A1A1A"/>
          <w:sz w:val="21"/>
          <w:szCs w:val="21"/>
        </w:rPr>
        <w:t xml:space="preserve">Genomic prediction of antimicrobial resistance (AMR) is delivered today by a fragmented set of point tools that each behave as a static, version-locked catalogue lookup: a genome goes in, a per-drug susceptible/resistant/indeterminate verdict comes out, and when the isolate presents a variant of unknown significance (VUS) or defeats the available drug arsenal, the pipeline simply stops and defers to slower reference methods. The scientifically interesting and clinically consequential problems live in the gaps </w:t>
      </w:r>
      <w:r>
        <w:rPr>
          <w:i/>
          <w:iCs/>
          <w:color w:val="1A1A1A"/>
          <w:sz w:val="21"/>
          <w:szCs w:val="21"/>
        </w:rPr>
        <w:t xml:space="preserve">between</w:t>
      </w:r>
      <w:r>
        <w:rPr>
          <w:color w:val="1A1A1A"/>
          <w:sz w:val="21"/>
          <w:szCs w:val="21"/>
        </w:rPr>
        <w:t xml:space="preserve"> those tools.</w:t>
      </w:r>
    </w:p>
    <w:p>
      <w:pPr>
        <w:spacing w:after="120" w:before="0" w:line="276"/>
      </w:pPr>
      <w:r>
        <w:rPr>
          <w:b/>
          <w:bCs/>
          <w:color w:val="1A1A1A"/>
          <w:sz w:val="21"/>
          <w:szCs w:val="21"/>
        </w:rPr>
        <w:t xml:space="preserve">The product. </w:t>
      </w:r>
      <w:r>
        <w:rPr>
          <w:color w:val="1A1A1A"/>
          <w:sz w:val="21"/>
          <w:szCs w:val="21"/>
        </w:rPr>
        <w:t xml:space="preserve">Myconductor is not another profiler. It is an orchestration-and-reasoning layer that ingests the output of existing tools, routes every finding to the appropriate specialist lane, reconciles the evidence into a regimen recommendation, and — when no adequate regimen exists — automatically escalates into a drug-target discovery loop. A federated living catalogue lets a network of sites improve the models without moving patient genomes off-site.</w:t>
      </w:r>
    </w:p>
    <w:p>
      <w:pPr>
        <w:spacing w:after="120" w:before="0" w:line="276"/>
      </w:pPr>
      <w:r>
        <w:rPr>
          <w:b/>
          <w:bCs/>
          <w:color w:val="1A1A1A"/>
          <w:sz w:val="21"/>
          <w:szCs w:val="21"/>
        </w:rPr>
        <w:t xml:space="preserve">The scope. </w:t>
      </w:r>
      <w:r>
        <w:rPr>
          <w:color w:val="1A1A1A"/>
          <w:sz w:val="21"/>
          <w:szCs w:val="21"/>
        </w:rPr>
        <w:t xml:space="preserve">The orchestration engine is organism-agnostic. Organism-specific biology is supplied by loadable </w:t>
      </w:r>
      <w:r>
        <w:rPr>
          <w:b/>
          <w:bCs/>
          <w:color w:val="1A1A1A"/>
          <w:sz w:val="21"/>
          <w:szCs w:val="21"/>
        </w:rPr>
        <w:t xml:space="preserve">profiles</w:t>
      </w:r>
      <w:r>
        <w:rPr>
          <w:color w:val="1A1A1A"/>
          <w:sz w:val="21"/>
          <w:szCs w:val="21"/>
        </w:rPr>
        <w:t xml:space="preserve">. This release ships and validates a mycobacterial profile (which includes </w:t>
      </w:r>
      <w:r>
        <w:rPr>
          <w:i/>
          <w:iCs/>
          <w:color w:val="1A1A1A"/>
          <w:sz w:val="21"/>
          <w:szCs w:val="21"/>
        </w:rPr>
        <w:t xml:space="preserve">Mycobacterium tuberculosis</w:t>
      </w:r>
      <w:r>
        <w:rPr>
          <w:color w:val="1A1A1A"/>
          <w:sz w:val="21"/>
          <w:szCs w:val="21"/>
        </w:rPr>
        <w:t xml:space="preserve"> and the clinically growing nontuberculous mycobacteria) and specifies the extension path to profiles for acquired-resistance-driven organisms such as the Enterobacterales.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6E4B8A" w:sz="18"/>
            </w:tcBorders>
            <w:shd w:fill="F1EEF5" w:color="auto" w:val="clear"/>
            <w:tcMar>
              <w:top w:type="dxa" w:w="120"/>
              <w:left w:type="dxa" w:w="160"/>
              <w:bottom w:type="dxa" w:w="120"/>
              <w:right w:type="dxa" w:w="160"/>
            </w:tcMar>
          </w:tcPr>
          <w:p>
            <w:pPr>
              <w:spacing w:after="60"/>
            </w:pPr>
            <w:r>
              <w:rPr>
                <w:b/>
                <w:bCs/>
                <w:color w:val="2E5A6B"/>
                <w:sz w:val="21"/>
                <w:szCs w:val="21"/>
              </w:rPr>
              <w:t xml:space="preserve">One-sentence positioning</w:t>
            </w:r>
          </w:p>
          <w:p>
            <w:pPr>
              <w:spacing w:after="40" w:line="260"/>
            </w:pPr>
            <w:r>
              <w:rPr>
                <w:color w:val="1A1A1A"/>
                <w:sz w:val="21"/>
                <w:szCs w:val="21"/>
              </w:rPr>
              <w:t xml:space="preserve">Myconductor turns a collection of static, single-shot AMR profilers into one adaptive, explainable, privacy-preserving system that closes the loop between diagnosis and discovery — and does so for whichever organism a profile describes.</w:t>
            </w:r>
          </w:p>
        </w:tc>
      </w:tr>
    </w:tbl>
    <w:p>
      <w:pPr>
        <w:spacing w:after="120" w:before="0" w:line="276"/>
      </w:pPr>
      <w:r>
        <w:rPr>
          <w:b/>
          <w:bCs/>
          <w:color w:val="1A1A1A"/>
          <w:sz w:val="21"/>
          <w:szCs w:val="21"/>
        </w:rPr>
        <w:t xml:space="preserve">How to read this document. </w:t>
      </w:r>
      <w:r>
        <w:rPr>
          <w:color w:val="1A1A1A"/>
          <w:sz w:val="21"/>
          <w:szCs w:val="21"/>
        </w:rPr>
        <w:t xml:space="preserve">Part A frames the work as science (problem, methods, validation, limitations). Part B frames it as implementation (how it reaches and changes practice, equitably and sustainably). Part C is the engineering functional specification (architecture, data model, requirements, interfaces, acceptance criteria). The three are deliberately integrated because the artefact only succeeds if it is simultaneously valid, adoptable, and buildable.</w:t>
      </w:r>
    </w:p>
    <w:p>
      <w:r>
        <w:br w:type="page"/>
      </w:r>
    </w:p>
    <w:p>
      <w:pPr>
        <w:pStyle w:val="Heading1"/>
        <w:spacing w:after="140" w:before="320"/>
      </w:pPr>
      <w:r>
        <w:rPr>
          <w:b/>
          <w:bCs/>
          <w:color w:val="2E5A6B"/>
          <w:sz w:val="30"/>
          <w:szCs w:val="30"/>
        </w:rPr>
        <w:t xml:space="preserve">2. Scope, intended use, and organism coverage</w:t>
      </w:r>
    </w:p>
    <w:p>
      <w:pPr>
        <w:pStyle w:val="Heading2"/>
        <w:spacing w:after="100" w:before="240"/>
      </w:pPr>
      <w:r>
        <w:rPr>
          <w:b/>
          <w:bCs/>
          <w:color w:val="6E4B8A"/>
          <w:sz w:val="25"/>
          <w:szCs w:val="25"/>
        </w:rPr>
        <w:t xml:space="preserve">2.1 Intended use</w:t>
      </w:r>
    </w:p>
    <w:p>
      <w:pPr>
        <w:spacing w:after="120" w:before="0" w:line="276"/>
      </w:pPr>
      <w:r>
        <w:rPr>
          <w:color w:val="1A1A1A"/>
          <w:sz w:val="21"/>
          <w:szCs w:val="21"/>
        </w:rPr>
        <w:t xml:space="preserve">Myconductor is intended as a research and clinical-decision-support layer that assists qualified personnel in interpreting bacterial genomic data for AMR. It aggregates and reasons over evidence; it does not replace phenotypic drug-susceptibility testing, and it does not act autonomously. Every output distinguishes catalogued (evidence-graded) calls from model predictions and marks discovery-loop proposals as hypothesis-generating only.</w:t>
      </w:r>
    </w:p>
    <w:p>
      <w:pPr>
        <w:pStyle w:val="Heading2"/>
        <w:spacing w:after="100" w:before="240"/>
      </w:pPr>
      <w:r>
        <w:rPr>
          <w:b/>
          <w:bCs/>
          <w:color w:val="6E4B8A"/>
          <w:sz w:val="25"/>
          <w:szCs w:val="25"/>
        </w:rPr>
        <w:t xml:space="preserve">2.2 Intended non-use</w:t>
      </w:r>
    </w:p>
    <w:p>
      <w:pPr>
        <w:pStyle w:val="ListParagraph"/>
        <w:numPr>
          <w:ilvl w:val="0"/>
          <w:numId w:val="1"/>
        </w:numPr>
        <w:spacing w:after="60" w:line="264"/>
      </w:pPr>
      <w:r>
        <w:rPr>
          <w:color w:val="1A1A1A"/>
          <w:sz w:val="21"/>
          <w:szCs w:val="21"/>
        </w:rPr>
        <w:t xml:space="preserve">Not a standalone diagnostic device and not a substitute for confirmatory laboratory testing.</w:t>
      </w:r>
    </w:p>
    <w:p>
      <w:pPr>
        <w:pStyle w:val="ListParagraph"/>
        <w:numPr>
          <w:ilvl w:val="0"/>
          <w:numId w:val="1"/>
        </w:numPr>
        <w:spacing w:after="60" w:line="264"/>
      </w:pPr>
      <w:r>
        <w:rPr>
          <w:color w:val="1A1A1A"/>
          <w:sz w:val="21"/>
          <w:szCs w:val="21"/>
        </w:rPr>
        <w:t xml:space="preserve">Not for autonomous prescribing or for use without human clinical oversight.</w:t>
      </w:r>
    </w:p>
    <w:p>
      <w:pPr>
        <w:pStyle w:val="ListParagraph"/>
        <w:numPr>
          <w:ilvl w:val="0"/>
          <w:numId w:val="1"/>
        </w:numPr>
        <w:spacing w:after="60" w:line="264"/>
      </w:pPr>
      <w:r>
        <w:rPr>
          <w:color w:val="1A1A1A"/>
          <w:sz w:val="21"/>
          <w:szCs w:val="21"/>
        </w:rPr>
        <w:t xml:space="preserve">Not validated, in this release, for any organism outside the mycobacterial profile.</w:t>
      </w:r>
    </w:p>
    <w:p>
      <w:pPr>
        <w:pStyle w:val="ListParagraph"/>
        <w:numPr>
          <w:ilvl w:val="0"/>
          <w:numId w:val="1"/>
        </w:numPr>
        <w:spacing w:after="60" w:line="264"/>
      </w:pPr>
      <w:r>
        <w:rPr>
          <w:color w:val="1A1A1A"/>
          <w:sz w:val="21"/>
          <w:szCs w:val="21"/>
        </w:rPr>
        <w:t xml:space="preserve">Not a tool for designing, enhancing, or synthesising pathogens; the discovery lane proposes host-selective drug targets and is bounded to therapeutic development.</w:t>
      </w:r>
    </w:p>
    <w:p>
      <w:pPr>
        <w:pStyle w:val="Heading2"/>
        <w:spacing w:after="100" w:before="240"/>
      </w:pPr>
      <w:r>
        <w:rPr>
          <w:b/>
          <w:bCs/>
          <w:color w:val="6E4B8A"/>
          <w:sz w:val="25"/>
          <w:szCs w:val="25"/>
        </w:rPr>
        <w:t xml:space="preserve">2.3 Why the engine is organism-agnostic but the biology is not</w:t>
      </w:r>
    </w:p>
    <w:p>
      <w:pPr>
        <w:spacing w:after="120" w:before="0" w:line="276"/>
      </w:pPr>
      <w:r>
        <w:rPr>
          <w:color w:val="1A1A1A"/>
          <w:sz w:val="21"/>
          <w:szCs w:val="21"/>
        </w:rPr>
        <w:t xml:space="preserve">Resistance arises through two broad genetic paradigms, and the distinction is load-bearing for what a tool must detect. In the </w:t>
      </w:r>
      <w:r>
        <w:rPr>
          <w:b/>
          <w:bCs/>
          <w:color w:val="1A1A1A"/>
          <w:sz w:val="21"/>
          <w:szCs w:val="21"/>
        </w:rPr>
        <w:t xml:space="preserve">chromosomal-mutation paradigm</w:t>
      </w:r>
      <w:r>
        <w:rPr>
          <w:color w:val="1A1A1A"/>
          <w:sz w:val="21"/>
          <w:szCs w:val="21"/>
        </w:rPr>
        <w:t xml:space="preserve">, resistance is driven overwhelmingly by spontaneous point mutations in chromosomal genes and regulatory regions; the detection problem is to score the effect of a specific nucleotide or amino-acid change. In the </w:t>
      </w:r>
      <w:r>
        <w:rPr>
          <w:b/>
          <w:bCs/>
          <w:color w:val="1A1A1A"/>
          <w:sz w:val="21"/>
          <w:szCs w:val="21"/>
        </w:rPr>
        <w:t xml:space="preserve">acquired-gene / mobile-element paradigm</w:t>
      </w:r>
      <w:r>
        <w:rPr>
          <w:color w:val="1A1A1A"/>
          <w:sz w:val="21"/>
          <w:szCs w:val="21"/>
        </w:rPr>
        <w:t xml:space="preserve">, organisms import whole resistance genes on plasmids, transposons and integrons; the detection problem is to recognise the presence of an acquired determinant and, often, to reconstruct its mobile context.</w:t>
      </w:r>
    </w:p>
    <w:p>
      <w:pPr>
        <w:spacing w:after="120" w:before="0" w:line="276"/>
      </w:pPr>
      <w:r>
        <w:rPr>
          <w:color w:val="1A1A1A"/>
          <w:sz w:val="21"/>
          <w:szCs w:val="21"/>
        </w:rPr>
        <w:t xml:space="preserve">Myconductor's orchestration spine — ingestion and QC, routing, evidence reconciliation, the discovery loop, reporting, and federated learning — is indifferent to which paradigm applies. What differs per organism is the </w:t>
      </w:r>
      <w:r>
        <w:rPr>
          <w:b/>
          <w:bCs/>
          <w:color w:val="1A1A1A"/>
          <w:sz w:val="21"/>
          <w:szCs w:val="21"/>
        </w:rPr>
        <w:t xml:space="preserve">set of lanes enabled and the reference content they consume</w:t>
      </w:r>
      <w:r>
        <w:rPr>
          <w:color w:val="1A1A1A"/>
          <w:sz w:val="21"/>
          <w:szCs w:val="21"/>
        </w:rPr>
        <w:t xml:space="preserve">. A profile therefore declares its catalogue, its drug and regimen definitions, its gene-to-drug map, and which specialist lanes are active.</w:t>
      </w:r>
    </w:p>
    <w:p>
      <w:pPr>
        <w:pStyle w:val="Heading2"/>
        <w:spacing w:after="100" w:before="240"/>
      </w:pPr>
      <w:r>
        <w:rPr>
          <w:b/>
          <w:bCs/>
          <w:color w:val="6E4B8A"/>
          <w:sz w:val="25"/>
          <w:szCs w:val="25"/>
        </w:rPr>
        <w:t xml:space="preserve">2.4 Organism coverage in this and future profiles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500"/>
        <w:gridCol w:w="2350"/>
        <w:gridCol w:w="2360"/>
        <w:gridCol w:w="2150"/>
      </w:tblGrid>
      <w:tr>
        <w:trPr>
          <w:tblHeader/>
        </w:trPr>
        <w:tc>
          <w:tcPr>
            <w:tcW w:type="dxa" w:w="2500"/>
            <w:shd w:fill="E9EEF0" w:color="auto" w:val="clear"/>
            <w:tcMar>
              <w:top w:type="dxa" w:w="60"/>
              <w:left w:type="dxa" w:w="90"/>
              <w:bottom w:type="dxa" w:w="60"/>
              <w:right w:type="dxa" w:w="90"/>
            </w:tcMar>
          </w:tcPr>
          <w:p>
            <w:pPr>
              <w:spacing w:after="20" w:line="250"/>
            </w:pPr>
            <w:r>
              <w:rPr>
                <w:b/>
                <w:bCs/>
                <w:color w:val="1A1A1A"/>
                <w:sz w:val="19"/>
                <w:szCs w:val="19"/>
              </w:rPr>
              <w:t xml:space="preserve">Organism group</w:t>
            </w:r>
          </w:p>
        </w:tc>
        <w:tc>
          <w:tcPr>
            <w:tcW w:type="dxa" w:w="2350"/>
            <w:shd w:fill="E9EEF0" w:color="auto" w:val="clear"/>
            <w:tcMar>
              <w:top w:type="dxa" w:w="60"/>
              <w:left w:type="dxa" w:w="90"/>
              <w:bottom w:type="dxa" w:w="60"/>
              <w:right w:type="dxa" w:w="90"/>
            </w:tcMar>
          </w:tcPr>
          <w:p>
            <w:pPr>
              <w:spacing w:after="20" w:line="250"/>
            </w:pPr>
            <w:r>
              <w:rPr>
                <w:b/>
                <w:bCs/>
                <w:color w:val="1A1A1A"/>
                <w:sz w:val="19"/>
                <w:szCs w:val="19"/>
              </w:rPr>
              <w:t xml:space="preserve">Dominant resistance paradigm</w:t>
            </w:r>
          </w:p>
        </w:tc>
        <w:tc>
          <w:tcPr>
            <w:tcW w:type="dxa" w:w="2360"/>
            <w:shd w:fill="E9EEF0" w:color="auto" w:val="clear"/>
            <w:tcMar>
              <w:top w:type="dxa" w:w="60"/>
              <w:left w:type="dxa" w:w="90"/>
              <w:bottom w:type="dxa" w:w="60"/>
              <w:right w:type="dxa" w:w="90"/>
            </w:tcMar>
          </w:tcPr>
          <w:p>
            <w:pPr>
              <w:spacing w:after="20" w:line="250"/>
            </w:pPr>
            <w:r>
              <w:rPr>
                <w:b/>
                <w:bCs/>
                <w:color w:val="1A1A1A"/>
                <w:sz w:val="19"/>
                <w:szCs w:val="19"/>
              </w:rPr>
              <w:t xml:space="preserve">Lanes required</w:t>
            </w:r>
          </w:p>
        </w:tc>
        <w:tc>
          <w:tcPr>
            <w:tcW w:type="dxa" w:w="2150"/>
            <w:shd w:fill="E9EEF0" w:color="auto" w:val="clear"/>
            <w:tcMar>
              <w:top w:type="dxa" w:w="60"/>
              <w:left w:type="dxa" w:w="90"/>
              <w:bottom w:type="dxa" w:w="60"/>
              <w:right w:type="dxa" w:w="90"/>
            </w:tcMar>
          </w:tcPr>
          <w:p>
            <w:pPr>
              <w:spacing w:after="20" w:line="250"/>
            </w:pPr>
            <w:r>
              <w:rPr>
                <w:b/>
                <w:bCs/>
                <w:color w:val="1A1A1A"/>
                <w:sz w:val="19"/>
                <w:szCs w:val="19"/>
              </w:rPr>
              <w:t xml:space="preserve">Support status</w:t>
            </w:r>
          </w:p>
        </w:tc>
      </w:tr>
      <w:tr>
        <w:tc>
          <w:tcPr>
            <w:tcW w:type="dxa" w:w="2500"/>
            <w:tcMar>
              <w:top w:type="dxa" w:w="60"/>
              <w:left w:type="dxa" w:w="90"/>
              <w:bottom w:type="dxa" w:w="60"/>
              <w:right w:type="dxa" w:w="90"/>
            </w:tcMar>
          </w:tcPr>
          <w:p>
            <w:pPr>
              <w:spacing w:after="20" w:line="250"/>
            </w:pPr>
            <w:r>
              <w:rPr>
                <w:color w:val="1A1A1A"/>
                <w:sz w:val="19"/>
                <w:szCs w:val="19"/>
              </w:rPr>
              <w:t xml:space="preserve">M. tuberculosis complex</w:t>
            </w:r>
          </w:p>
        </w:tc>
        <w:tc>
          <w:tcPr>
            <w:tcW w:type="dxa" w:w="2350"/>
            <w:tcMar>
              <w:top w:type="dxa" w:w="60"/>
              <w:left w:type="dxa" w:w="90"/>
              <w:bottom w:type="dxa" w:w="60"/>
              <w:right w:type="dxa" w:w="90"/>
            </w:tcMar>
          </w:tcPr>
          <w:p>
            <w:pPr>
              <w:spacing w:after="20" w:line="250"/>
            </w:pPr>
            <w:r>
              <w:rPr>
                <w:color w:val="1A1A1A"/>
                <w:sz w:val="19"/>
                <w:szCs w:val="19"/>
              </w:rPr>
              <w:t xml:space="preserve">Chromosomal mutation</w:t>
            </w:r>
          </w:p>
        </w:tc>
        <w:tc>
          <w:tcPr>
            <w:tcW w:type="dxa" w:w="2360"/>
            <w:tcMar>
              <w:top w:type="dxa" w:w="60"/>
              <w:left w:type="dxa" w:w="90"/>
              <w:bottom w:type="dxa" w:w="60"/>
              <w:right w:type="dxa" w:w="90"/>
            </w:tcMar>
          </w:tcPr>
          <w:p>
            <w:pPr>
              <w:spacing w:after="20" w:line="250"/>
            </w:pPr>
            <w:r>
              <w:rPr>
                <w:color w:val="1A1A1A"/>
                <w:sz w:val="19"/>
                <w:szCs w:val="19"/>
              </w:rPr>
              <w:t xml:space="preserve">Catalogue, VUS-ML, efflux/regulatory, heteroresistance</w:t>
            </w:r>
          </w:p>
        </w:tc>
        <w:tc>
          <w:tcPr>
            <w:tcW w:type="dxa" w:w="2150"/>
            <w:tcMar>
              <w:top w:type="dxa" w:w="60"/>
              <w:left w:type="dxa" w:w="90"/>
              <w:bottom w:type="dxa" w:w="60"/>
              <w:right w:type="dxa" w:w="90"/>
            </w:tcMar>
          </w:tcPr>
          <w:p>
            <w:pPr>
              <w:spacing w:after="20" w:line="250"/>
            </w:pPr>
            <w:r>
              <w:rPr>
                <w:color w:val="1A1A1A"/>
                <w:sz w:val="19"/>
                <w:szCs w:val="19"/>
              </w:rPr>
              <w:t xml:space="preserve">Shipped &amp; validated (reference profile)</w:t>
            </w:r>
          </w:p>
        </w:tc>
      </w:tr>
      <w:tr>
        <w:tc>
          <w:tcPr>
            <w:tcW w:type="dxa" w:w="2500"/>
            <w:shd w:fill="F4F6F7" w:color="auto" w:val="clear"/>
            <w:tcMar>
              <w:top w:type="dxa" w:w="60"/>
              <w:left w:type="dxa" w:w="90"/>
              <w:bottom w:type="dxa" w:w="60"/>
              <w:right w:type="dxa" w:w="90"/>
            </w:tcMar>
          </w:tcPr>
          <w:p>
            <w:pPr>
              <w:spacing w:after="20" w:line="250"/>
            </w:pPr>
            <w:r>
              <w:rPr>
                <w:color w:val="1A1A1A"/>
                <w:sz w:val="19"/>
                <w:szCs w:val="19"/>
              </w:rPr>
              <w:t xml:space="preserve">Nontuberculous mycobacteria (M. abscessus, M. avium complex)</w:t>
            </w:r>
          </w:p>
        </w:tc>
        <w:tc>
          <w:tcPr>
            <w:tcW w:type="dxa" w:w="2350"/>
            <w:shd w:fill="F4F6F7" w:color="auto" w:val="clear"/>
            <w:tcMar>
              <w:top w:type="dxa" w:w="60"/>
              <w:left w:type="dxa" w:w="90"/>
              <w:bottom w:type="dxa" w:w="60"/>
              <w:right w:type="dxa" w:w="90"/>
            </w:tcMar>
          </w:tcPr>
          <w:p>
            <w:pPr>
              <w:spacing w:after="20" w:line="250"/>
            </w:pPr>
            <w:r>
              <w:rPr>
                <w:color w:val="1A1A1A"/>
                <w:sz w:val="19"/>
                <w:szCs w:val="19"/>
              </w:rPr>
              <w:t xml:space="preserve">Chromosomal mutation; strong intrinsic efflux</w:t>
            </w:r>
          </w:p>
        </w:tc>
        <w:tc>
          <w:tcPr>
            <w:tcW w:type="dxa" w:w="2360"/>
            <w:shd w:fill="F4F6F7" w:color="auto" w:val="clear"/>
            <w:tcMar>
              <w:top w:type="dxa" w:w="60"/>
              <w:left w:type="dxa" w:w="90"/>
              <w:bottom w:type="dxa" w:w="60"/>
              <w:right w:type="dxa" w:w="90"/>
            </w:tcMar>
          </w:tcPr>
          <w:p>
            <w:pPr>
              <w:spacing w:after="20" w:line="250"/>
            </w:pPr>
            <w:r>
              <w:rPr>
                <w:color w:val="1A1A1A"/>
                <w:sz w:val="19"/>
                <w:szCs w:val="19"/>
              </w:rPr>
              <w:t xml:space="preserve">Same as above + macrolide/aminoglycoside content</w:t>
            </w:r>
          </w:p>
        </w:tc>
        <w:tc>
          <w:tcPr>
            <w:tcW w:type="dxa" w:w="2150"/>
            <w:shd w:fill="F4F6F7" w:color="auto" w:val="clear"/>
            <w:tcMar>
              <w:top w:type="dxa" w:w="60"/>
              <w:left w:type="dxa" w:w="90"/>
              <w:bottom w:type="dxa" w:w="60"/>
              <w:right w:type="dxa" w:w="90"/>
            </w:tcMar>
          </w:tcPr>
          <w:p>
            <w:pPr>
              <w:spacing w:after="20" w:line="250"/>
            </w:pPr>
            <w:r>
              <w:rPr>
                <w:color w:val="1A1A1A"/>
                <w:sz w:val="19"/>
                <w:szCs w:val="19"/>
              </w:rPr>
              <w:t xml:space="preserve">Design-complete; catalogue content pending</w:t>
            </w:r>
          </w:p>
        </w:tc>
      </w:tr>
      <w:tr>
        <w:tc>
          <w:tcPr>
            <w:tcW w:type="dxa" w:w="2500"/>
            <w:tcMar>
              <w:top w:type="dxa" w:w="60"/>
              <w:left w:type="dxa" w:w="90"/>
              <w:bottom w:type="dxa" w:w="60"/>
              <w:right w:type="dxa" w:w="90"/>
            </w:tcMar>
          </w:tcPr>
          <w:p>
            <w:pPr>
              <w:spacing w:after="20" w:line="250"/>
            </w:pPr>
            <w:r>
              <w:rPr>
                <w:color w:val="1A1A1A"/>
                <w:sz w:val="19"/>
                <w:szCs w:val="19"/>
              </w:rPr>
              <w:t xml:space="preserve">Enterobacterales (E. coli, Klebsiella)</w:t>
            </w:r>
          </w:p>
        </w:tc>
        <w:tc>
          <w:tcPr>
            <w:tcW w:type="dxa" w:w="2350"/>
            <w:tcMar>
              <w:top w:type="dxa" w:w="60"/>
              <w:left w:type="dxa" w:w="90"/>
              <w:bottom w:type="dxa" w:w="60"/>
              <w:right w:type="dxa" w:w="90"/>
            </w:tcMar>
          </w:tcPr>
          <w:p>
            <w:pPr>
              <w:spacing w:after="20" w:line="250"/>
            </w:pPr>
            <w:r>
              <w:rPr>
                <w:color w:val="1A1A1A"/>
                <w:sz w:val="19"/>
                <w:szCs w:val="19"/>
              </w:rPr>
              <w:t xml:space="preserve">Acquired genes on mobile elements</w:t>
            </w:r>
          </w:p>
        </w:tc>
        <w:tc>
          <w:tcPr>
            <w:tcW w:type="dxa" w:w="2360"/>
            <w:tcMar>
              <w:top w:type="dxa" w:w="60"/>
              <w:left w:type="dxa" w:w="90"/>
              <w:bottom w:type="dxa" w:w="60"/>
              <w:right w:type="dxa" w:w="90"/>
            </w:tcMar>
          </w:tcPr>
          <w:p>
            <w:pPr>
              <w:spacing w:after="20" w:line="250"/>
            </w:pPr>
            <w:r>
              <w:rPr>
                <w:color w:val="1A1A1A"/>
                <w:sz w:val="19"/>
                <w:szCs w:val="19"/>
              </w:rPr>
              <w:t xml:space="preserve">Acquired-gene lane, mobile-element context, efflux; plus VUS for chromosomal targets</w:t>
            </w:r>
          </w:p>
        </w:tc>
        <w:tc>
          <w:tcPr>
            <w:tcW w:type="dxa" w:w="2150"/>
            <w:tcMar>
              <w:top w:type="dxa" w:w="60"/>
              <w:left w:type="dxa" w:w="90"/>
              <w:bottom w:type="dxa" w:w="60"/>
              <w:right w:type="dxa" w:w="90"/>
            </w:tcMar>
          </w:tcPr>
          <w:p>
            <w:pPr>
              <w:spacing w:after="20" w:line="250"/>
            </w:pPr>
            <w:r>
              <w:rPr>
                <w:color w:val="1A1A1A"/>
                <w:sz w:val="19"/>
                <w:szCs w:val="19"/>
              </w:rPr>
              <w:t xml:space="preserve">Specified; lane stubbed for extension</w:t>
            </w:r>
          </w:p>
        </w:tc>
      </w:tr>
      <w:tr>
        <w:tc>
          <w:tcPr>
            <w:tcW w:type="dxa" w:w="2500"/>
            <w:shd w:fill="F4F6F7" w:color="auto" w:val="clear"/>
            <w:tcMar>
              <w:top w:type="dxa" w:w="60"/>
              <w:left w:type="dxa" w:w="90"/>
              <w:bottom w:type="dxa" w:w="60"/>
              <w:right w:type="dxa" w:w="90"/>
            </w:tcMar>
          </w:tcPr>
          <w:p>
            <w:pPr>
              <w:spacing w:after="20" w:line="250"/>
            </w:pPr>
            <w:r>
              <w:rPr>
                <w:color w:val="1A1A1A"/>
                <w:sz w:val="19"/>
                <w:szCs w:val="19"/>
              </w:rPr>
              <w:t xml:space="preserve">Non-fermenters (Acinetobacter, Pseudomonas)</w:t>
            </w:r>
          </w:p>
        </w:tc>
        <w:tc>
          <w:tcPr>
            <w:tcW w:type="dxa" w:w="2350"/>
            <w:shd w:fill="F4F6F7" w:color="auto" w:val="clear"/>
            <w:tcMar>
              <w:top w:type="dxa" w:w="60"/>
              <w:left w:type="dxa" w:w="90"/>
              <w:bottom w:type="dxa" w:w="60"/>
              <w:right w:type="dxa" w:w="90"/>
            </w:tcMar>
          </w:tcPr>
          <w:p>
            <w:pPr>
              <w:spacing w:after="20" w:line="250"/>
            </w:pPr>
            <w:r>
              <w:rPr>
                <w:color w:val="1A1A1A"/>
                <w:sz w:val="19"/>
                <w:szCs w:val="19"/>
              </w:rPr>
              <w:t xml:space="preserve">Acquired genes + regulatory/efflux</w:t>
            </w:r>
          </w:p>
        </w:tc>
        <w:tc>
          <w:tcPr>
            <w:tcW w:type="dxa" w:w="2360"/>
            <w:shd w:fill="F4F6F7" w:color="auto" w:val="clear"/>
            <w:tcMar>
              <w:top w:type="dxa" w:w="60"/>
              <w:left w:type="dxa" w:w="90"/>
              <w:bottom w:type="dxa" w:w="60"/>
              <w:right w:type="dxa" w:w="90"/>
            </w:tcMar>
          </w:tcPr>
          <w:p>
            <w:pPr>
              <w:spacing w:after="20" w:line="250"/>
            </w:pPr>
            <w:r>
              <w:rPr>
                <w:color w:val="1A1A1A"/>
                <w:sz w:val="19"/>
                <w:szCs w:val="19"/>
              </w:rPr>
              <w:t xml:space="preserve">Acquired-gene lane, efflux/regulatory, VUS</w:t>
            </w:r>
          </w:p>
        </w:tc>
        <w:tc>
          <w:tcPr>
            <w:tcW w:type="dxa" w:w="2150"/>
            <w:shd w:fill="F4F6F7" w:color="auto" w:val="clear"/>
            <w:tcMar>
              <w:top w:type="dxa" w:w="60"/>
              <w:left w:type="dxa" w:w="90"/>
              <w:bottom w:type="dxa" w:w="60"/>
              <w:right w:type="dxa" w:w="90"/>
            </w:tcMar>
          </w:tcPr>
          <w:p>
            <w:pPr>
              <w:spacing w:after="20" w:line="250"/>
            </w:pPr>
            <w:r>
              <w:rPr>
                <w:color w:val="1A1A1A"/>
                <w:sz w:val="19"/>
                <w:szCs w:val="19"/>
              </w:rPr>
              <w:t xml:space="preserve">Specified; not implemented</w:t>
            </w:r>
          </w:p>
        </w:tc>
      </w:tr>
      <w:tr>
        <w:tc>
          <w:tcPr>
            <w:tcW w:type="dxa" w:w="2500"/>
            <w:tcMar>
              <w:top w:type="dxa" w:w="60"/>
              <w:left w:type="dxa" w:w="90"/>
              <w:bottom w:type="dxa" w:w="60"/>
              <w:right w:type="dxa" w:w="90"/>
            </w:tcMar>
          </w:tcPr>
          <w:p>
            <w:pPr>
              <w:spacing w:after="20" w:line="250"/>
            </w:pPr>
            <w:r>
              <w:rPr>
                <w:color w:val="1A1A1A"/>
                <w:sz w:val="19"/>
                <w:szCs w:val="19"/>
              </w:rPr>
              <w:t xml:space="preserve">Staphylococcus, Enterococcus</w:t>
            </w:r>
          </w:p>
        </w:tc>
        <w:tc>
          <w:tcPr>
            <w:tcW w:type="dxa" w:w="2350"/>
            <w:tcMar>
              <w:top w:type="dxa" w:w="60"/>
              <w:left w:type="dxa" w:w="90"/>
              <w:bottom w:type="dxa" w:w="60"/>
              <w:right w:type="dxa" w:w="90"/>
            </w:tcMar>
          </w:tcPr>
          <w:p>
            <w:pPr>
              <w:spacing w:after="20" w:line="250"/>
            </w:pPr>
            <w:r>
              <w:rPr>
                <w:color w:val="1A1A1A"/>
                <w:sz w:val="19"/>
                <w:szCs w:val="19"/>
              </w:rPr>
              <w:t xml:space="preserve">Acquired genes (mecA, vanA) + point mutation</w:t>
            </w:r>
          </w:p>
        </w:tc>
        <w:tc>
          <w:tcPr>
            <w:tcW w:type="dxa" w:w="2360"/>
            <w:tcMar>
              <w:top w:type="dxa" w:w="60"/>
              <w:left w:type="dxa" w:w="90"/>
              <w:bottom w:type="dxa" w:w="60"/>
              <w:right w:type="dxa" w:w="90"/>
            </w:tcMar>
          </w:tcPr>
          <w:p>
            <w:pPr>
              <w:spacing w:after="20" w:line="250"/>
            </w:pPr>
            <w:r>
              <w:rPr>
                <w:color w:val="1A1A1A"/>
                <w:sz w:val="19"/>
                <w:szCs w:val="19"/>
              </w:rPr>
              <w:t xml:space="preserve">Acquired-gene lane + VUS</w:t>
            </w:r>
          </w:p>
        </w:tc>
        <w:tc>
          <w:tcPr>
            <w:tcW w:type="dxa" w:w="2150"/>
            <w:tcMar>
              <w:top w:type="dxa" w:w="60"/>
              <w:left w:type="dxa" w:w="90"/>
              <w:bottom w:type="dxa" w:w="60"/>
              <w:right w:type="dxa" w:w="90"/>
            </w:tcMar>
          </w:tcPr>
          <w:p>
            <w:pPr>
              <w:spacing w:after="20" w:line="250"/>
            </w:pPr>
            <w:r>
              <w:rPr>
                <w:color w:val="1A1A1A"/>
                <w:sz w:val="19"/>
                <w:szCs w:val="19"/>
              </w:rPr>
              <w:t xml:space="preserve">Specified; not implemented</w:t>
            </w:r>
          </w:p>
        </w:tc>
      </w:tr>
    </w:tbl>
    <w:p>
      <w:pPr>
        <w:spacing w:after="120" w:before="0" w:line="276"/>
      </w:pPr>
      <w:r>
        <w:rPr>
          <w:color w:val="5F5E5A"/>
          <w:sz w:val="21"/>
          <w:szCs w:val="21"/>
        </w:rPr>
        <w:t xml:space="preserve">The naming reflects this scope precisely. </w:t>
      </w:r>
      <w:r>
        <w:rPr>
          <w:i/>
          <w:iCs/>
          <w:color w:val="5F5E5A"/>
          <w:sz w:val="21"/>
          <w:szCs w:val="21"/>
        </w:rPr>
        <w:t xml:space="preserve">“Myco”</w:t>
      </w:r>
      <w:r>
        <w:rPr>
          <w:color w:val="5F5E5A"/>
          <w:sz w:val="21"/>
          <w:szCs w:val="21"/>
        </w:rPr>
        <w:t xml:space="preserve"> claims the mycobacterial genus, which shares one resistance paradigm and therefore reuses the same lanes and the same core modelling assumption; it deliberately neither under-claims (a “TB” name would hide the nontuberculous mycobacteria) nor over-claims (a generic “AMR” name would imply plasmid-driven organisms the current lanes do not yet handle). For a genuinely pan-bacterial ambition, the recommended path is to keep the engine under a neutral name and ship organism support as profiles, of which Myconductor is the mycobacterial distribution.</w:t>
      </w:r>
    </w:p>
    <w:p>
      <w:r>
        <w:br w:type="page"/>
      </w:r>
    </w:p>
    <w:p>
      <w:pPr>
        <w:spacing w:after="60" w:before="200"/>
      </w:pPr>
      <w:r>
        <w:rPr>
          <w:b/>
          <w:bCs/>
          <w:color w:val="6E4B8A"/>
          <w:sz w:val="24"/>
          <w:szCs w:val="24"/>
        </w:rPr>
        <w:t xml:space="preserve">PART A</w:t>
      </w:r>
    </w:p>
    <w:p>
      <w:pPr>
        <w:pBdr>
          <w:bottom w:val="single" w:color="2E5A6B" w:sz="12"/>
        </w:pBdr>
        <w:spacing w:after="120"/>
      </w:pPr>
      <w:r>
        <w:rPr>
          <w:b/>
          <w:bCs/>
          <w:color w:val="2E5A6B"/>
          <w:sz w:val="34"/>
          <w:szCs w:val="34"/>
        </w:rPr>
        <w:t xml:space="preserve">Scientific research framing</w:t>
      </w:r>
    </w:p>
    <w:p>
      <w:pPr>
        <w:pStyle w:val="Heading1"/>
        <w:spacing w:after="140" w:before="320"/>
      </w:pPr>
      <w:r>
        <w:rPr>
          <w:b/>
          <w:bCs/>
          <w:color w:val="2E5A6B"/>
          <w:sz w:val="30"/>
          <w:szCs w:val="30"/>
        </w:rPr>
        <w:t xml:space="preserve">3. Background and problem statement</w:t>
      </w:r>
    </w:p>
    <w:p>
      <w:pPr>
        <w:spacing w:after="120" w:before="0" w:line="276"/>
      </w:pPr>
      <w:r>
        <w:rPr>
          <w:color w:val="1A1A1A"/>
          <w:sz w:val="21"/>
          <w:szCs w:val="21"/>
        </w:rPr>
        <w:t xml:space="preserve">AMR is among the leading global causes of death attributable to infectious disease, and genomic methods are increasingly central to detecting and tracking it. Sequencing can, in principle, characterise resistance faster and more comprehensively than phenotypic testing, but routine clinical adoption is constrained by cost, workflow, turnaround, and — critically — by the interpretive limits of current software.</w:t>
      </w:r>
    </w:p>
    <w:p>
      <w:pPr>
        <w:pStyle w:val="Heading2"/>
        <w:spacing w:after="100" w:before="240"/>
      </w:pPr>
      <w:r>
        <w:rPr>
          <w:b/>
          <w:bCs/>
          <w:color w:val="6E4B8A"/>
          <w:sz w:val="25"/>
          <w:szCs w:val="25"/>
        </w:rPr>
        <w:t xml:space="preserve">3.1 The interpretive gaps this project targets</w:t>
      </w:r>
    </w:p>
    <w:p>
      <w:pPr>
        <w:pStyle w:val="Heading3"/>
        <w:spacing w:after="80" w:before="180"/>
      </w:pPr>
      <w:r>
        <w:rPr>
          <w:b/>
          <w:bCs/>
          <w:color w:val="1A1A1A"/>
          <w:sz w:val="22"/>
          <w:szCs w:val="22"/>
        </w:rPr>
        <w:t xml:space="preserve">3.1.1 Variants of unknown significance (VUS)</w:t>
      </w:r>
    </w:p>
    <w:p>
      <w:pPr>
        <w:spacing w:after="120" w:before="0" w:line="276"/>
      </w:pPr>
      <w:r>
        <w:rPr>
          <w:color w:val="1A1A1A"/>
          <w:sz w:val="21"/>
          <w:szCs w:val="21"/>
        </w:rPr>
        <w:t xml:space="preserve">Catalogue-based tools classify only variants they already know. Every clinical isolate tends to surface novel single-nucleotide polymorphisms or indels whose phenotypic effect is undetermined. These are reported as “unknown” and effectively discarded, even though some are genuine, actionable resistance determinants.</w:t>
      </w:r>
    </w:p>
    <w:p>
      <w:pPr>
        <w:pStyle w:val="Heading3"/>
        <w:spacing w:after="80" w:before="180"/>
      </w:pPr>
      <w:r>
        <w:rPr>
          <w:b/>
          <w:bCs/>
          <w:color w:val="1A1A1A"/>
          <w:sz w:val="22"/>
          <w:szCs w:val="22"/>
        </w:rPr>
        <w:t xml:space="preserve">3.1.2 Non-coding and regulatory variation</w:t>
      </w:r>
    </w:p>
    <w:p>
      <w:pPr>
        <w:spacing w:after="120" w:before="0" w:line="276"/>
      </w:pPr>
      <w:r>
        <w:rPr>
          <w:color w:val="1A1A1A"/>
          <w:sz w:val="21"/>
          <w:szCs w:val="21"/>
        </w:rPr>
        <w:t xml:space="preserve">Historically, catalogues focused on coding genes. Mutations in promoter and intergenic regions can modulate expression of drug targets and efflux systems, materially changing susceptibility; these are computationally harder to parse and are unevenly represented in reference catalogues.</w:t>
      </w:r>
    </w:p>
    <w:p>
      <w:pPr>
        <w:pStyle w:val="Heading3"/>
        <w:spacing w:after="80" w:before="180"/>
      </w:pPr>
      <w:r>
        <w:rPr>
          <w:b/>
          <w:bCs/>
          <w:color w:val="1A1A1A"/>
          <w:sz w:val="22"/>
          <w:szCs w:val="22"/>
        </w:rPr>
        <w:t xml:space="preserve">3.1.3 Efflux-mediated and multi-drug resistance</w:t>
      </w:r>
    </w:p>
    <w:p>
      <w:pPr>
        <w:spacing w:after="120" w:before="0" w:line="276"/>
      </w:pPr>
      <w:r>
        <w:rPr>
          <w:color w:val="1A1A1A"/>
          <w:sz w:val="21"/>
          <w:szCs w:val="21"/>
        </w:rPr>
        <w:t xml:space="preserve">Overexpression of efflux systems can produce low-to-moderate resistance across several drugs at once. Detecting the mere presence of an efflux gene does not establish that it is overexpressed; inferring the functional state from genomic data alone is an open problem.</w:t>
      </w:r>
    </w:p>
    <w:p>
      <w:pPr>
        <w:pStyle w:val="Heading3"/>
        <w:spacing w:after="80" w:before="180"/>
      </w:pPr>
      <w:r>
        <w:rPr>
          <w:b/>
          <w:bCs/>
          <w:color w:val="1A1A1A"/>
          <w:sz w:val="22"/>
          <w:szCs w:val="22"/>
        </w:rPr>
        <w:t xml:space="preserve">3.1.4 Heteroresistance</w:t>
      </w:r>
    </w:p>
    <w:p>
      <w:pPr>
        <w:spacing w:after="120" w:before="0" w:line="276"/>
      </w:pPr>
      <w:r>
        <w:rPr>
          <w:color w:val="1A1A1A"/>
          <w:sz w:val="21"/>
          <w:szCs w:val="21"/>
        </w:rPr>
        <w:t xml:space="preserve">A single specimen can contain a mixture of susceptible and resistant subpopulations. Consensus variant calling routinely misses low-frequency resistant minorities, producing false-negative resistance reports with direct treatment consequences.</w:t>
      </w:r>
    </w:p>
    <w:p>
      <w:pPr>
        <w:pStyle w:val="Heading3"/>
        <w:spacing w:after="80" w:before="180"/>
      </w:pPr>
      <w:r>
        <w:rPr>
          <w:b/>
          <w:bCs/>
          <w:color w:val="1A1A1A"/>
          <w:sz w:val="22"/>
          <w:szCs w:val="22"/>
        </w:rPr>
        <w:t xml:space="preserve">3.1.5 Surveillance lag for novel regimens</w:t>
      </w:r>
    </w:p>
    <w:p>
      <w:pPr>
        <w:spacing w:after="120" w:before="0" w:line="276"/>
      </w:pPr>
      <w:r>
        <w:rPr>
          <w:color w:val="1A1A1A"/>
          <w:sz w:val="21"/>
          <w:szCs w:val="21"/>
        </w:rPr>
        <w:t xml:space="preserve">As new and repurposed drugs enter shortened regimens, resistance emerges before reference catalogues can characterise its genetic basis. Because catalogues are curated retrospectively from peer-reviewed evidence, catalogue-bound tools are perpetually behind for exactly the newest, most valuable compounds.</w:t>
      </w:r>
    </w:p>
    <w:p>
      <w:pPr>
        <w:pStyle w:val="Heading3"/>
        <w:spacing w:after="80" w:before="180"/>
      </w:pPr>
      <w:r>
        <w:rPr>
          <w:b/>
          <w:bCs/>
          <w:color w:val="1A1A1A"/>
          <w:sz w:val="22"/>
          <w:szCs w:val="22"/>
        </w:rPr>
        <w:t xml:space="preserve">3.1.6 Data silos</w:t>
      </w:r>
    </w:p>
    <w:p>
      <w:pPr>
        <w:spacing w:after="120" w:before="0" w:line="276"/>
      </w:pPr>
      <w:r>
        <w:rPr>
          <w:color w:val="1A1A1A"/>
          <w:sz w:val="21"/>
          <w:szCs w:val="21"/>
        </w:rPr>
        <w:t xml:space="preserve">Patient genomic data are frequently governed by strict local privacy and sovereignty rules, isolating resistance signal from the networks that would most benefit from pooling it, and starving models of the multi-site data that improve generalisability.</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left w:val="single" w:color="6E4B8A" w:sz="18"/>
            </w:tcBorders>
            <w:shd w:fill="F1EEF5" w:color="auto" w:val="clear"/>
            <w:tcMar>
              <w:top w:type="dxa" w:w="120"/>
              <w:left w:type="dxa" w:w="160"/>
              <w:bottom w:type="dxa" w:w="120"/>
              <w:right w:type="dxa" w:w="160"/>
            </w:tcMar>
          </w:tcPr>
          <w:p>
            <w:pPr>
              <w:spacing w:after="60"/>
            </w:pPr>
            <w:r>
              <w:rPr>
                <w:b/>
                <w:bCs/>
                <w:color w:val="2E5A6B"/>
                <w:sz w:val="21"/>
                <w:szCs w:val="21"/>
              </w:rPr>
              <w:t xml:space="preserve">Research thesis</w:t>
            </w:r>
          </w:p>
          <w:p>
            <w:pPr>
              <w:spacing w:after="40" w:line="260"/>
            </w:pPr>
            <w:r>
              <w:rPr>
                <w:color w:val="1A1A1A"/>
                <w:sz w:val="21"/>
                <w:szCs w:val="21"/>
              </w:rPr>
              <w:t xml:space="preserve">None of these gaps is solved by any single existing tool, and they are not independent — they interact within a single specimen. An orchestration layer that routes each finding to a purpose-built method, learns across sites without moving data, and closes the loop into discovery is a better unit of analysis than any one predictor.</w:t>
            </w:r>
          </w:p>
        </w:tc>
      </w:tr>
    </w:tbl>
    <w:p>
      <w:pPr>
        <w:pStyle w:val="Heading1"/>
        <w:spacing w:after="140" w:before="320"/>
      </w:pPr>
      <w:r>
        <w:rPr>
          <w:b/>
          <w:bCs/>
          <w:color w:val="2E5A6B"/>
          <w:sz w:val="30"/>
          <w:szCs w:val="30"/>
        </w:rPr>
        <w:t xml:space="preserve">4. Methods</w:t>
      </w:r>
    </w:p>
    <w:p>
      <w:pPr>
        <w:spacing w:after="120" w:before="0" w:line="276"/>
      </w:pPr>
      <w:r>
        <w:rPr>
          <w:color w:val="1A1A1A"/>
          <w:sz w:val="21"/>
          <w:szCs w:val="21"/>
        </w:rPr>
        <w:t xml:space="preserve">The methods below describe the reference (mycobacterial) profile. Lanes marked as profile-dependent are enabled or disabled per organism.</w:t>
      </w:r>
    </w:p>
    <w:p>
      <w:pPr>
        <w:pStyle w:val="Heading2"/>
        <w:spacing w:after="100" w:before="240"/>
      </w:pPr>
      <w:r>
        <w:rPr>
          <w:b/>
          <w:bCs/>
          <w:color w:val="6E4B8A"/>
          <w:sz w:val="25"/>
          <w:szCs w:val="25"/>
        </w:rPr>
        <w:t xml:space="preserve">4.1 Variant normalisation and quality control</w:t>
      </w:r>
    </w:p>
    <w:p>
      <w:pPr>
        <w:spacing w:after="120" w:before="0" w:line="276"/>
      </w:pPr>
      <w:r>
        <w:rPr>
          <w:color w:val="1A1A1A"/>
          <w:sz w:val="21"/>
          <w:szCs w:val="21"/>
        </w:rPr>
        <w:t xml:space="preserve">Heterogeneous inputs (VCF from short- or long-read platforms, tabular calls, or JSON) are normalised to a canonical variant representation carrying gene, change, genomic coordinates, variant allele frequency (VAF), read depth, and region annotation. Coverage-gated QC enforces that a locus sequenced below a configurable depth floor is not reported susceptible but flagged indeterminate, preserving the principle that absence of evidence is not evidence of susceptibility.</w:t>
      </w:r>
    </w:p>
    <w:p>
      <w:pPr>
        <w:pStyle w:val="Heading2"/>
        <w:spacing w:after="100" w:before="240"/>
      </w:pPr>
      <w:r>
        <w:rPr>
          <w:b/>
          <w:bCs/>
          <w:color w:val="6E4B8A"/>
          <w:sz w:val="25"/>
          <w:szCs w:val="25"/>
        </w:rPr>
        <w:t xml:space="preserve">4.2 Triage routing</w:t>
      </w:r>
    </w:p>
    <w:p>
      <w:pPr>
        <w:spacing w:after="120" w:before="0" w:line="276"/>
      </w:pPr>
      <w:r>
        <w:rPr>
          <w:color w:val="1A1A1A"/>
          <w:sz w:val="21"/>
          <w:szCs w:val="21"/>
        </w:rPr>
        <w:t xml:space="preserve">A router assigns each variant to exactly one lane using an ordered, auditable decision rule: silent/off-target variants are ignored; catalogued variants go to the catalogue lane; efflux-locus and non-coding/regulatory variants go to the efflux/regulatory lane; remaining coding variants in modelled genes go to the VUS classifier. In acquired-resistance profiles, an acquired-gene lane precedes the VUS lane. The router owns no biology; it only dispatches, which keeps the decision logic transparent and lets lanes evolve independently.</w:t>
      </w:r>
    </w:p>
    <w:p>
      <w:pPr>
        <w:pStyle w:val="Heading2"/>
        <w:spacing w:after="100" w:before="240"/>
      </w:pPr>
      <w:r>
        <w:rPr>
          <w:b/>
          <w:bCs/>
          <w:color w:val="6E4B8A"/>
          <w:sz w:val="25"/>
          <w:szCs w:val="25"/>
        </w:rPr>
        <w:t xml:space="preserve">4.3 VUS classification</w:t>
      </w:r>
    </w:p>
    <w:p>
      <w:pPr>
        <w:spacing w:after="120" w:before="0" w:line="276"/>
      </w:pPr>
      <w:r>
        <w:rPr>
          <w:color w:val="1A1A1A"/>
          <w:sz w:val="21"/>
          <w:szCs w:val="21"/>
        </w:rPr>
        <w:t xml:space="preserve">Coding VUS are classified by a supervised model that consumes engineered biological features rather than raw sequence. Features include evolutionary conservation (e.g., SIFT/PolyPhen-style scores), structural impact derived from predicted protein structure (binding-pocket perturbation and stability change), and physicochemical substitution severity. Candidate estimators are gradient-boosted trees and hierarchical attentive neural networks. The model emits a calibrated probability, an explicit abstention band that returns indeterminate near the decision boundary, and per-feature attributions for explainability.</w:t>
      </w:r>
    </w:p>
    <w:p>
      <w:pPr>
        <w:spacing w:after="120" w:before="0" w:line="276"/>
      </w:pPr>
      <w:r>
        <w:rPr>
          <w:b/>
          <w:bCs/>
          <w:color w:val="1A1A1A"/>
          <w:sz w:val="21"/>
          <w:szCs w:val="21"/>
        </w:rPr>
        <w:t xml:space="preserve">Explainability requirement. </w:t>
      </w:r>
      <w:r>
        <w:rPr>
          <w:color w:val="1A1A1A"/>
          <w:sz w:val="21"/>
          <w:szCs w:val="21"/>
        </w:rPr>
        <w:t xml:space="preserve">Every predicted call is accompanied by a feature-attribution rationale so that a reviewer can see why the model reached its conclusion; predictions are never surfaced as bare labels.</w:t>
      </w:r>
    </w:p>
    <w:p>
      <w:pPr>
        <w:pStyle w:val="Heading2"/>
        <w:spacing w:after="100" w:before="240"/>
      </w:pPr>
      <w:r>
        <w:rPr>
          <w:b/>
          <w:bCs/>
          <w:color w:val="6E4B8A"/>
          <w:sz w:val="25"/>
          <w:szCs w:val="25"/>
        </w:rPr>
        <w:t xml:space="preserve">4.4 Acquired-gene and mobile-element detection (profile-dependent)</w:t>
      </w:r>
    </w:p>
    <w:p>
      <w:pPr>
        <w:spacing w:after="120" w:before="0" w:line="276"/>
      </w:pPr>
      <w:r>
        <w:rPr>
          <w:color w:val="1A1A1A"/>
          <w:sz w:val="21"/>
          <w:szCs w:val="21"/>
        </w:rPr>
        <w:t xml:space="preserve">For acquired-resistance organisms, a lane detects the presence of acquired resistance determinants against curated gene databases and, where read data permit, characterises the mobile-genetic context (plasmid replicon, transposon, integron). In these profiles “novelty” means a previously unseen gene or allele rather than a novel point mutation, and the VUS notion is redefined accordingly.</w:t>
      </w:r>
    </w:p>
    <w:p>
      <w:pPr>
        <w:pStyle w:val="Heading2"/>
        <w:spacing w:after="100" w:before="240"/>
      </w:pPr>
      <w:r>
        <w:rPr>
          <w:b/>
          <w:bCs/>
          <w:color w:val="6E4B8A"/>
          <w:sz w:val="25"/>
          <w:szCs w:val="25"/>
        </w:rPr>
        <w:t xml:space="preserve">4.5 Efflux and regulatory inference</w:t>
      </w:r>
    </w:p>
    <w:p>
      <w:pPr>
        <w:spacing w:after="120" w:before="0" w:line="276"/>
      </w:pPr>
      <w:r>
        <w:rPr>
          <w:color w:val="1A1A1A"/>
          <w:sz w:val="21"/>
          <w:szCs w:val="21"/>
        </w:rPr>
        <w:t xml:space="preserve">This lane flags two catalogue blind spots: likely efflux-pump de-repression inferred from loss-of-function changes in known efflux regulators, and promoter/intergenic variants that modulate target expression. Where transcriptomic evidence is available it is preferred; otherwise a regulatory model provides a graded, explicitly uncertain prediction.</w:t>
      </w:r>
    </w:p>
    <w:p>
      <w:pPr>
        <w:pStyle w:val="Heading2"/>
        <w:spacing w:after="100" w:before="240"/>
      </w:pPr>
      <w:r>
        <w:rPr>
          <w:b/>
          <w:bCs/>
          <w:color w:val="6E4B8A"/>
          <w:sz w:val="25"/>
          <w:szCs w:val="25"/>
        </w:rPr>
        <w:t xml:space="preserve">4.6 Heteroresistance detection</w:t>
      </w:r>
    </w:p>
    <w:p>
      <w:pPr>
        <w:spacing w:after="120" w:before="0" w:line="276"/>
      </w:pPr>
      <w:r>
        <w:rPr>
          <w:color w:val="1A1A1A"/>
          <w:sz w:val="21"/>
          <w:szCs w:val="21"/>
        </w:rPr>
        <w:t xml:space="preserve">Independently of lane, resistance-associated variants are examined for VAF between a sequencing noise floor and a majority threshold, surfacing minority resistant subpopulations that a consensus caller would miss. Sensitivity is bounded by sequencing depth and error, and reported as such.</w:t>
      </w:r>
    </w:p>
    <w:p>
      <w:pPr>
        <w:pStyle w:val="Heading2"/>
        <w:spacing w:after="100" w:before="240"/>
      </w:pPr>
      <w:r>
        <w:rPr>
          <w:b/>
          <w:bCs/>
          <w:color w:val="6E4B8A"/>
          <w:sz w:val="25"/>
          <w:szCs w:val="25"/>
        </w:rPr>
        <w:t xml:space="preserve">4.7 Regimen synthesis</w:t>
      </w:r>
    </w:p>
    <w:p>
      <w:pPr>
        <w:spacing w:after="120" w:before="0" w:line="276"/>
      </w:pPr>
      <w:r>
        <w:rPr>
          <w:color w:val="1A1A1A"/>
          <w:sz w:val="21"/>
          <w:szCs w:val="21"/>
        </w:rPr>
        <w:t xml:space="preserve">Per-drug evidence is reconciled conservatively: resistance evidence outweighs susceptibility, and a catalogued call outranks a predicted call of equal strength. The synthesiser then proposes the best regimen whose effective-drug floor is met, from a profile-supplied, guideline-aligned regimen library.</w:t>
      </w:r>
    </w:p>
    <w:p>
      <w:pPr>
        <w:pStyle w:val="Heading2"/>
        <w:spacing w:after="100" w:before="240"/>
      </w:pPr>
      <w:r>
        <w:rPr>
          <w:b/>
          <w:bCs/>
          <w:color w:val="6E4B8A"/>
          <w:sz w:val="25"/>
          <w:szCs w:val="25"/>
        </w:rPr>
        <w:t xml:space="preserve">4.8 Discovery loop: subtractive genomics and molecular docking</w:t>
      </w:r>
    </w:p>
    <w:p>
      <w:pPr>
        <w:spacing w:after="120" w:before="0" w:line="276"/>
      </w:pPr>
      <w:r>
        <w:rPr>
          <w:color w:val="1A1A1A"/>
          <w:sz w:val="21"/>
          <w:szCs w:val="21"/>
        </w:rPr>
        <w:t xml:space="preserve">When no adequate regimen exists, a diagnostic dead-end automatically seeds discovery. An in-silico subtractive-genomics funnel retains proteins that are essential, non-homologous to the human proteome, and druggable; surviving targets are subjected to molecular docking of repurposing and natural-compound libraries. Outputs are ranked candidate targets and compounds, labelled unambiguously as hypothesis-generating and not therapy.</w:t>
      </w:r>
    </w:p>
    <w:p>
      <w:pPr>
        <w:pStyle w:val="Heading2"/>
        <w:spacing w:after="100" w:before="240"/>
      </w:pPr>
      <w:r>
        <w:rPr>
          <w:b/>
          <w:bCs/>
          <w:color w:val="6E4B8A"/>
          <w:sz w:val="25"/>
          <w:szCs w:val="25"/>
        </w:rPr>
        <w:t xml:space="preserve">4.9 Federated living catalogue and drift monitoring</w:t>
      </w:r>
    </w:p>
    <w:p>
      <w:pPr>
        <w:spacing w:after="120" w:before="0" w:line="276"/>
      </w:pPr>
      <w:r>
        <w:rPr>
          <w:color w:val="1A1A1A"/>
          <w:sz w:val="21"/>
          <w:szCs w:val="21"/>
        </w:rPr>
        <w:t xml:space="preserve">Sites retain genomes locally and share only aggregated, de-identified variant-to-phenotype tallies. A coordinator aggregates these; variants that accumulate sufficient concordant evidence are promoted into the catalogue with a provisional grade, so the catalogue updates continuously rather than only at retrospective releases. A drift monitor tracks predictive performance over time and raises an alarm when it decays below tolerance, guarding against silent model degradation.</w:t>
      </w:r>
    </w:p>
    <w:p>
      <w:pPr>
        <w:pStyle w:val="Heading1"/>
        <w:spacing w:after="140" w:before="320"/>
      </w:pPr>
      <w:r>
        <w:rPr>
          <w:b/>
          <w:bCs/>
          <w:color w:val="2E5A6B"/>
          <w:sz w:val="30"/>
          <w:szCs w:val="30"/>
        </w:rPr>
        <w:t xml:space="preserve">5. Validation and evaluation strategy</w:t>
      </w:r>
    </w:p>
    <w:p>
      <w:pPr>
        <w:spacing w:after="120" w:before="0" w:line="276"/>
      </w:pPr>
      <w:r>
        <w:rPr>
          <w:color w:val="1A1A1A"/>
          <w:sz w:val="21"/>
          <w:szCs w:val="21"/>
        </w:rPr>
        <w:t xml:space="preserve">Validation is model-, workflow-, and site-level, and it is explicitly comparative against established catalogue tools.</w:t>
      </w:r>
    </w:p>
    <w:p>
      <w:pPr>
        <w:pStyle w:val="Heading2"/>
        <w:spacing w:after="100" w:before="240"/>
      </w:pPr>
      <w:r>
        <w:rPr>
          <w:b/>
          <w:bCs/>
          <w:color w:val="6E4B8A"/>
          <w:sz w:val="25"/>
          <w:szCs w:val="25"/>
        </w:rPr>
        <w:t xml:space="preserve">5.1 Benchmark data</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4300"/>
        <w:gridCol w:w="5060"/>
      </w:tblGrid>
      <w:tr>
        <w:trPr>
          <w:tblHeader/>
        </w:trPr>
        <w:tc>
          <w:tcPr>
            <w:tcW w:type="dxa" w:w="4300"/>
            <w:shd w:fill="E9EEF0" w:color="auto" w:val="clear"/>
            <w:tcMar>
              <w:top w:type="dxa" w:w="60"/>
              <w:left w:type="dxa" w:w="90"/>
              <w:bottom w:type="dxa" w:w="60"/>
              <w:right w:type="dxa" w:w="90"/>
            </w:tcMar>
          </w:tcPr>
          <w:p>
            <w:pPr>
              <w:spacing w:after="20" w:line="250"/>
            </w:pPr>
            <w:r>
              <w:rPr>
                <w:b/>
                <w:bCs/>
                <w:color w:val="1A1A1A"/>
                <w:sz w:val="19"/>
                <w:szCs w:val="19"/>
              </w:rPr>
              <w:t xml:space="preserve">Resource</w:t>
            </w:r>
          </w:p>
        </w:tc>
        <w:tc>
          <w:tcPr>
            <w:tcW w:type="dxa" w:w="5060"/>
            <w:shd w:fill="E9EEF0" w:color="auto" w:val="clear"/>
            <w:tcMar>
              <w:top w:type="dxa" w:w="60"/>
              <w:left w:type="dxa" w:w="90"/>
              <w:bottom w:type="dxa" w:w="60"/>
              <w:right w:type="dxa" w:w="90"/>
            </w:tcMar>
          </w:tcPr>
          <w:p>
            <w:pPr>
              <w:spacing w:after="20" w:line="250"/>
            </w:pPr>
            <w:r>
              <w:rPr>
                <w:b/>
                <w:bCs/>
                <w:color w:val="1A1A1A"/>
                <w:sz w:val="19"/>
                <w:szCs w:val="19"/>
              </w:rPr>
              <w:t xml:space="preserve">Role in evaluation</w:t>
            </w:r>
          </w:p>
        </w:tc>
      </w:tr>
      <w:tr>
        <w:tc>
          <w:tcPr>
            <w:tcW w:type="dxa" w:w="4300"/>
            <w:tcMar>
              <w:top w:type="dxa" w:w="60"/>
              <w:left w:type="dxa" w:w="90"/>
              <w:bottom w:type="dxa" w:w="60"/>
              <w:right w:type="dxa" w:w="90"/>
            </w:tcMar>
          </w:tcPr>
          <w:p>
            <w:pPr>
              <w:spacing w:after="20" w:line="250"/>
            </w:pPr>
            <w:r>
              <w:rPr>
                <w:color w:val="1A1A1A"/>
                <w:sz w:val="19"/>
                <w:szCs w:val="19"/>
              </w:rPr>
              <w:t xml:space="preserve">WHO catalogue of mutations in M. tuberculosis complex (2nd ed.)</w:t>
            </w:r>
          </w:p>
        </w:tc>
        <w:tc>
          <w:tcPr>
            <w:tcW w:type="dxa" w:w="5060"/>
            <w:tcMar>
              <w:top w:type="dxa" w:w="60"/>
              <w:left w:type="dxa" w:w="90"/>
              <w:bottom w:type="dxa" w:w="60"/>
              <w:right w:type="dxa" w:w="90"/>
            </w:tcMar>
          </w:tcPr>
          <w:p>
            <w:pPr>
              <w:spacing w:after="20" w:line="250"/>
            </w:pPr>
            <w:r>
              <w:rPr>
                <w:color w:val="1A1A1A"/>
                <w:sz w:val="19"/>
                <w:szCs w:val="19"/>
              </w:rPr>
              <w:t xml:space="preserve">Ground-truth grading for catalogued calls; scope reference for the mycobacterial profile</w:t>
            </w:r>
          </w:p>
        </w:tc>
      </w:tr>
      <w:tr>
        <w:tc>
          <w:tcPr>
            <w:tcW w:type="dxa" w:w="4300"/>
            <w:shd w:fill="F4F6F7" w:color="auto" w:val="clear"/>
            <w:tcMar>
              <w:top w:type="dxa" w:w="60"/>
              <w:left w:type="dxa" w:w="90"/>
              <w:bottom w:type="dxa" w:w="60"/>
              <w:right w:type="dxa" w:w="90"/>
            </w:tcMar>
          </w:tcPr>
          <w:p>
            <w:pPr>
              <w:spacing w:after="20" w:line="250"/>
            </w:pPr>
            <w:r>
              <w:rPr>
                <w:color w:val="1A1A1A"/>
                <w:sz w:val="19"/>
                <w:szCs w:val="19"/>
              </w:rPr>
              <w:t xml:space="preserve">CRyPTIC consortium compendium</w:t>
            </w:r>
          </w:p>
        </w:tc>
        <w:tc>
          <w:tcPr>
            <w:tcW w:type="dxa" w:w="5060"/>
            <w:shd w:fill="F4F6F7" w:color="auto" w:val="clear"/>
            <w:tcMar>
              <w:top w:type="dxa" w:w="60"/>
              <w:left w:type="dxa" w:w="90"/>
              <w:bottom w:type="dxa" w:w="60"/>
              <w:right w:type="dxa" w:w="90"/>
            </w:tcMar>
          </w:tcPr>
          <w:p>
            <w:pPr>
              <w:spacing w:after="20" w:line="250"/>
            </w:pPr>
            <w:r>
              <w:rPr>
                <w:color w:val="1A1A1A"/>
                <w:sz w:val="19"/>
                <w:szCs w:val="19"/>
              </w:rPr>
              <w:t xml:space="preserve">Paired genome / quantitative phenotypic DST for training and testing the VUS classifier</w:t>
            </w:r>
          </w:p>
        </w:tc>
      </w:tr>
      <w:tr>
        <w:tc>
          <w:tcPr>
            <w:tcW w:type="dxa" w:w="4300"/>
            <w:tcMar>
              <w:top w:type="dxa" w:w="60"/>
              <w:left w:type="dxa" w:w="90"/>
              <w:bottom w:type="dxa" w:w="60"/>
              <w:right w:type="dxa" w:w="90"/>
            </w:tcMar>
          </w:tcPr>
          <w:p>
            <w:pPr>
              <w:spacing w:after="20" w:line="250"/>
            </w:pPr>
            <w:r>
              <w:rPr>
                <w:color w:val="1A1A1A"/>
                <w:sz w:val="19"/>
                <w:szCs w:val="19"/>
              </w:rPr>
              <w:t xml:space="preserve">BV-BRC (bacterial bioinformatics resource)</w:t>
            </w:r>
          </w:p>
        </w:tc>
        <w:tc>
          <w:tcPr>
            <w:tcW w:type="dxa" w:w="5060"/>
            <w:tcMar>
              <w:top w:type="dxa" w:w="60"/>
              <w:left w:type="dxa" w:w="90"/>
              <w:bottom w:type="dxa" w:w="60"/>
              <w:right w:type="dxa" w:w="90"/>
            </w:tcMar>
          </w:tcPr>
          <w:p>
            <w:pPr>
              <w:spacing w:after="20" w:line="250"/>
            </w:pPr>
            <w:r>
              <w:rPr>
                <w:color w:val="1A1A1A"/>
                <w:sz w:val="19"/>
                <w:szCs w:val="19"/>
              </w:rPr>
              <w:t xml:space="preserve">Cross-organism genomes and metadata for extension profiles</w:t>
            </w:r>
          </w:p>
        </w:tc>
      </w:tr>
      <w:tr>
        <w:tc>
          <w:tcPr>
            <w:tcW w:type="dxa" w:w="4300"/>
            <w:shd w:fill="F4F6F7" w:color="auto" w:val="clear"/>
            <w:tcMar>
              <w:top w:type="dxa" w:w="60"/>
              <w:left w:type="dxa" w:w="90"/>
              <w:bottom w:type="dxa" w:w="60"/>
              <w:right w:type="dxa" w:w="90"/>
            </w:tcMar>
          </w:tcPr>
          <w:p>
            <w:pPr>
              <w:spacing w:after="20" w:line="250"/>
            </w:pPr>
            <w:r>
              <w:rPr>
                <w:color w:val="1A1A1A"/>
                <w:sz w:val="19"/>
                <w:szCs w:val="19"/>
              </w:rPr>
              <w:t xml:space="preserve">Curated acquired-gene databases (e.g., ResFinder, CARD)</w:t>
            </w:r>
          </w:p>
        </w:tc>
        <w:tc>
          <w:tcPr>
            <w:tcW w:type="dxa" w:w="5060"/>
            <w:shd w:fill="F4F6F7" w:color="auto" w:val="clear"/>
            <w:tcMar>
              <w:top w:type="dxa" w:w="60"/>
              <w:left w:type="dxa" w:w="90"/>
              <w:bottom w:type="dxa" w:w="60"/>
              <w:right w:type="dxa" w:w="90"/>
            </w:tcMar>
          </w:tcPr>
          <w:p>
            <w:pPr>
              <w:spacing w:after="20" w:line="250"/>
            </w:pPr>
            <w:r>
              <w:rPr>
                <w:color w:val="1A1A1A"/>
                <w:sz w:val="19"/>
                <w:szCs w:val="19"/>
              </w:rPr>
              <w:t xml:space="preserve">Reference content for acquired-gene lanes in extension profiles</w:t>
            </w:r>
          </w:p>
        </w:tc>
      </w:tr>
    </w:tbl>
    <w:p>
      <w:pPr>
        <w:pStyle w:val="Heading2"/>
        <w:spacing w:after="100" w:before="240"/>
      </w:pPr>
      <w:r>
        <w:rPr>
          <w:b/>
          <w:bCs/>
          <w:color w:val="6E4B8A"/>
          <w:sz w:val="25"/>
          <w:szCs w:val="25"/>
        </w:rPr>
        <w:t xml:space="preserve">5.2 Metrics</w:t>
      </w:r>
    </w:p>
    <w:p>
      <w:pPr>
        <w:pStyle w:val="ListParagraph"/>
        <w:numPr>
          <w:ilvl w:val="0"/>
          <w:numId w:val="1"/>
        </w:numPr>
        <w:spacing w:after="60" w:line="264"/>
      </w:pPr>
      <w:r>
        <w:rPr>
          <w:color w:val="1A1A1A"/>
          <w:sz w:val="21"/>
          <w:szCs w:val="21"/>
        </w:rPr>
        <w:t xml:space="preserve">Per-drug sensitivity and specificity against a composite reference standard, reported with confidence intervals.</w:t>
      </w:r>
    </w:p>
    <w:p>
      <w:pPr>
        <w:pStyle w:val="ListParagraph"/>
        <w:numPr>
          <w:ilvl w:val="0"/>
          <w:numId w:val="1"/>
        </w:numPr>
        <w:spacing w:after="60" w:line="264"/>
      </w:pPr>
      <w:r>
        <w:rPr>
          <w:color w:val="1A1A1A"/>
          <w:sz w:val="21"/>
          <w:szCs w:val="21"/>
        </w:rPr>
        <w:t xml:space="preserve">Very-major-error (false-susceptible) and major-error (false-resistant) rates, the clinically weighted error types.</w:t>
      </w:r>
    </w:p>
    <w:p>
      <w:pPr>
        <w:pStyle w:val="ListParagraph"/>
        <w:numPr>
          <w:ilvl w:val="0"/>
          <w:numId w:val="1"/>
        </w:numPr>
        <w:spacing w:after="60" w:line="264"/>
      </w:pPr>
      <w:r>
        <w:rPr>
          <w:color w:val="1A1A1A"/>
          <w:sz w:val="21"/>
          <w:szCs w:val="21"/>
        </w:rPr>
        <w:t xml:space="preserve">Discrimination (AUROC) and, crucially, probability calibration for the VUS classifier.</w:t>
      </w:r>
    </w:p>
    <w:p>
      <w:pPr>
        <w:pStyle w:val="ListParagraph"/>
        <w:numPr>
          <w:ilvl w:val="0"/>
          <w:numId w:val="1"/>
        </w:numPr>
        <w:spacing w:after="60" w:line="264"/>
      </w:pPr>
      <w:r>
        <w:rPr>
          <w:color w:val="1A1A1A"/>
          <w:sz w:val="21"/>
          <w:szCs w:val="21"/>
        </w:rPr>
        <w:t xml:space="preserve">Abstention rate and the accuracy of non-abstained calls (a model that declines wisely is preferable to a confident wrong one).</w:t>
      </w:r>
    </w:p>
    <w:p>
      <w:pPr>
        <w:pStyle w:val="ListParagraph"/>
        <w:numPr>
          <w:ilvl w:val="0"/>
          <w:numId w:val="1"/>
        </w:numPr>
        <w:spacing w:after="60" w:line="264"/>
      </w:pPr>
      <w:r>
        <w:rPr>
          <w:color w:val="1A1A1A"/>
          <w:sz w:val="21"/>
          <w:szCs w:val="21"/>
        </w:rPr>
        <w:t xml:space="preserve">Heteroresistance recall as a function of sequencing depth and minority fraction.</w:t>
      </w:r>
    </w:p>
    <w:p>
      <w:pPr>
        <w:pStyle w:val="ListParagraph"/>
        <w:numPr>
          <w:ilvl w:val="0"/>
          <w:numId w:val="1"/>
        </w:numPr>
        <w:spacing w:after="60" w:line="264"/>
      </w:pPr>
      <w:r>
        <w:rPr>
          <w:color w:val="1A1A1A"/>
          <w:sz w:val="21"/>
          <w:szCs w:val="21"/>
        </w:rPr>
        <w:t xml:space="preserve">Workflow metrics: turnaround time, indeterminate-call rate, and reflex-testing rate versus the incumbent pipeline.</w:t>
      </w:r>
    </w:p>
    <w:p>
      <w:pPr>
        <w:pStyle w:val="Heading2"/>
        <w:spacing w:after="100" w:before="240"/>
      </w:pPr>
      <w:r>
        <w:rPr>
          <w:b/>
          <w:bCs/>
          <w:color w:val="6E4B8A"/>
          <w:sz w:val="25"/>
          <w:szCs w:val="25"/>
        </w:rPr>
        <w:t xml:space="preserve">5.3 Study designs</w:t>
      </w:r>
    </w:p>
    <w:p>
      <w:pPr>
        <w:pStyle w:val="ListParagraph"/>
        <w:numPr>
          <w:ilvl w:val="0"/>
          <w:numId w:val="1"/>
        </w:numPr>
        <w:spacing w:after="60" w:line="264"/>
      </w:pPr>
      <w:r>
        <w:rPr>
          <w:b/>
          <w:bCs/>
          <w:color w:val="1A1A1A"/>
          <w:sz w:val="21"/>
          <w:szCs w:val="21"/>
        </w:rPr>
        <w:t xml:space="preserve">Retrospective benchmarking </w:t>
      </w:r>
      <w:r>
        <w:rPr>
          <w:color w:val="1A1A1A"/>
          <w:sz w:val="21"/>
          <w:szCs w:val="21"/>
        </w:rPr>
        <w:t xml:space="preserve">on held-out isolates with known phenotypes, versus TB-Profiler/Mykrobe-class comparators.</w:t>
      </w:r>
    </w:p>
    <w:p>
      <w:pPr>
        <w:pStyle w:val="ListParagraph"/>
        <w:numPr>
          <w:ilvl w:val="0"/>
          <w:numId w:val="1"/>
        </w:numPr>
        <w:spacing w:after="60" w:line="264"/>
      </w:pPr>
      <w:r>
        <w:rPr>
          <w:b/>
          <w:bCs/>
          <w:color w:val="1A1A1A"/>
          <w:sz w:val="21"/>
          <w:szCs w:val="21"/>
        </w:rPr>
        <w:t xml:space="preserve">Silent (shadow) evaluation </w:t>
      </w:r>
      <w:r>
        <w:rPr>
          <w:color w:val="1A1A1A"/>
          <w:sz w:val="21"/>
          <w:szCs w:val="21"/>
        </w:rPr>
        <w:t xml:space="preserve">in which Myconductor runs alongside routine reporting without influencing decisions, to measure real-world concordance and safety before any clinical influence.</w:t>
      </w:r>
    </w:p>
    <w:p>
      <w:pPr>
        <w:pStyle w:val="ListParagraph"/>
        <w:numPr>
          <w:ilvl w:val="0"/>
          <w:numId w:val="1"/>
        </w:numPr>
        <w:spacing w:after="60" w:line="264"/>
      </w:pPr>
      <w:r>
        <w:rPr>
          <w:b/>
          <w:bCs/>
          <w:color w:val="1A1A1A"/>
          <w:sz w:val="21"/>
          <w:szCs w:val="21"/>
        </w:rPr>
        <w:t xml:space="preserve">Prospective, multi-site evaluation </w:t>
      </w:r>
      <w:r>
        <w:rPr>
          <w:color w:val="1A1A1A"/>
          <w:sz w:val="21"/>
          <w:szCs w:val="21"/>
        </w:rPr>
        <w:t xml:space="preserve">with human-in-the-loop reporting and pre-registered endpoints.</w:t>
      </w:r>
    </w:p>
    <w:p>
      <w:pPr>
        <w:pStyle w:val="ListParagraph"/>
        <w:numPr>
          <w:ilvl w:val="0"/>
          <w:numId w:val="1"/>
        </w:numPr>
        <w:spacing w:after="60" w:line="264"/>
      </w:pPr>
      <w:r>
        <w:rPr>
          <w:b/>
          <w:bCs/>
          <w:color w:val="1A1A1A"/>
          <w:sz w:val="21"/>
          <w:szCs w:val="21"/>
        </w:rPr>
        <w:t xml:space="preserve">Federated evaluation </w:t>
      </w:r>
      <w:r>
        <w:rPr>
          <w:color w:val="1A1A1A"/>
          <w:sz w:val="21"/>
          <w:szCs w:val="21"/>
        </w:rPr>
        <w:t xml:space="preserve">measuring whether cross-site learning improves generalisability without raw-data exchange, including performance on under-represented lineages and settings.</w:t>
      </w:r>
    </w:p>
    <w:p>
      <w:pPr>
        <w:pStyle w:val="Heading2"/>
        <w:spacing w:after="100" w:before="240"/>
      </w:pPr>
      <w:r>
        <w:rPr>
          <w:b/>
          <w:bCs/>
          <w:color w:val="6E4B8A"/>
          <w:sz w:val="25"/>
          <w:szCs w:val="25"/>
        </w:rPr>
        <w:t xml:space="preserve">5.4 Acceptance thresholds</w:t>
      </w:r>
    </w:p>
    <w:p>
      <w:pPr>
        <w:spacing w:after="120" w:before="0" w:line="276"/>
      </w:pPr>
      <w:r>
        <w:rPr>
          <w:color w:val="1A1A1A"/>
          <w:sz w:val="21"/>
          <w:szCs w:val="21"/>
        </w:rPr>
        <w:t xml:space="preserve">Release gates are defined per drug and per profile, with the strictest thresholds on very-major-error rates for drugs central to short regimens. A profile is not promoted from “design-complete” to “validated” until it clears these gates on independent data.</w:t>
      </w:r>
    </w:p>
    <w:p>
      <w:pPr>
        <w:pStyle w:val="Heading1"/>
        <w:spacing w:after="140" w:before="320"/>
      </w:pPr>
      <w:r>
        <w:rPr>
          <w:b/>
          <w:bCs/>
          <w:color w:val="2E5A6B"/>
          <w:sz w:val="30"/>
          <w:szCs w:val="30"/>
        </w:rPr>
        <w:t xml:space="preserve">6. Limitations, bias, and ethics</w:t>
      </w:r>
    </w:p>
    <w:p>
      <w:pPr>
        <w:pStyle w:val="ListParagraph"/>
        <w:numPr>
          <w:ilvl w:val="0"/>
          <w:numId w:val="1"/>
        </w:numPr>
        <w:spacing w:after="60" w:line="264"/>
      </w:pPr>
      <w:r>
        <w:rPr>
          <w:b/>
          <w:bCs/>
          <w:color w:val="1A1A1A"/>
          <w:sz w:val="21"/>
          <w:szCs w:val="21"/>
        </w:rPr>
        <w:t xml:space="preserve">Training-data breadth. </w:t>
      </w:r>
      <w:r>
        <w:rPr>
          <w:color w:val="1A1A1A"/>
          <w:sz w:val="21"/>
          <w:szCs w:val="21"/>
        </w:rPr>
        <w:t xml:space="preserve">Model quality is bounded by available paired genome/phenotype data; the newest drugs — precisely those of greatest value — have the thinnest data, so predictions there carry the widest uncertainty and the strongest case for abstention.</w:t>
      </w:r>
    </w:p>
    <w:p>
      <w:pPr>
        <w:pStyle w:val="ListParagraph"/>
        <w:numPr>
          <w:ilvl w:val="0"/>
          <w:numId w:val="1"/>
        </w:numPr>
        <w:spacing w:after="60" w:line="264"/>
      </w:pPr>
      <w:r>
        <w:rPr>
          <w:b/>
          <w:bCs/>
          <w:color w:val="1A1A1A"/>
          <w:sz w:val="21"/>
          <w:szCs w:val="21"/>
        </w:rPr>
        <w:t xml:space="preserve">Lineage and geographic bias. </w:t>
      </w:r>
      <w:r>
        <w:rPr>
          <w:color w:val="1A1A1A"/>
          <w:sz w:val="21"/>
          <w:szCs w:val="21"/>
        </w:rPr>
        <w:t xml:space="preserve">Under-representation of certain lineages and regions in training data risks unequal performance; federated evaluation is designed partly to detect this.</w:t>
      </w:r>
    </w:p>
    <w:p>
      <w:pPr>
        <w:pStyle w:val="ListParagraph"/>
        <w:numPr>
          <w:ilvl w:val="0"/>
          <w:numId w:val="1"/>
        </w:numPr>
        <w:spacing w:after="60" w:line="264"/>
      </w:pPr>
      <w:r>
        <w:rPr>
          <w:b/>
          <w:bCs/>
          <w:color w:val="1A1A1A"/>
          <w:sz w:val="21"/>
          <w:szCs w:val="21"/>
        </w:rPr>
        <w:t xml:space="preserve">Structural-prediction and docking limits. </w:t>
      </w:r>
      <w:r>
        <w:rPr>
          <w:color w:val="1A1A1A"/>
          <w:sz w:val="21"/>
          <w:szCs w:val="21"/>
        </w:rPr>
        <w:t xml:space="preserve">Predicted structures and docking scores are approximations with meaningful false-positive rates; discovery-loop outputs are leads, not results.</w:t>
      </w:r>
    </w:p>
    <w:p>
      <w:pPr>
        <w:pStyle w:val="ListParagraph"/>
        <w:numPr>
          <w:ilvl w:val="0"/>
          <w:numId w:val="1"/>
        </w:numPr>
        <w:spacing w:after="60" w:line="264"/>
      </w:pPr>
      <w:r>
        <w:rPr>
          <w:b/>
          <w:bCs/>
          <w:color w:val="1A1A1A"/>
          <w:sz w:val="21"/>
          <w:szCs w:val="21"/>
        </w:rPr>
        <w:t xml:space="preserve">Heteroresistance floor. </w:t>
      </w:r>
      <w:r>
        <w:rPr>
          <w:color w:val="1A1A1A"/>
          <w:sz w:val="21"/>
          <w:szCs w:val="21"/>
        </w:rPr>
        <w:t xml:space="preserve">Detection below the noise floor is not claimed; depth and error impose hard limits.</w:t>
      </w:r>
    </w:p>
    <w:p>
      <w:pPr>
        <w:pStyle w:val="ListParagraph"/>
        <w:numPr>
          <w:ilvl w:val="0"/>
          <w:numId w:val="1"/>
        </w:numPr>
        <w:spacing w:after="60" w:line="264"/>
      </w:pPr>
      <w:r>
        <w:rPr>
          <w:b/>
          <w:bCs/>
          <w:color w:val="1A1A1A"/>
          <w:sz w:val="21"/>
          <w:szCs w:val="21"/>
        </w:rPr>
        <w:t xml:space="preserve">Clinical liability and automation bias. </w:t>
      </w:r>
      <w:r>
        <w:rPr>
          <w:color w:val="1A1A1A"/>
          <w:sz w:val="21"/>
          <w:szCs w:val="21"/>
        </w:rPr>
        <w:t xml:space="preserve">Acting on a predicted (non-catalogued) call carries risk; the catalogued/predicted distinction, abstention, and human oversight are mitigations, not eliminations.</w:t>
      </w:r>
    </w:p>
    <w:p>
      <w:pPr>
        <w:pStyle w:val="ListParagraph"/>
        <w:numPr>
          <w:ilvl w:val="0"/>
          <w:numId w:val="1"/>
        </w:numPr>
        <w:spacing w:after="60" w:line="264"/>
      </w:pPr>
      <w:r>
        <w:rPr>
          <w:b/>
          <w:bCs/>
          <w:color w:val="1A1A1A"/>
          <w:sz w:val="21"/>
          <w:szCs w:val="21"/>
        </w:rPr>
        <w:t xml:space="preserve">Dual-use posture. </w:t>
      </w:r>
      <w:r>
        <w:rPr>
          <w:color w:val="1A1A1A"/>
          <w:sz w:val="21"/>
          <w:szCs w:val="21"/>
        </w:rPr>
        <w:t xml:space="preserve">The discovery lane is bounded to identifying host-selective therapeutic targets; the system provides no uplift toward creating or enhancing pathogens, and this boundary is a design constraint, not an afterthought.</w:t>
      </w:r>
    </w:p>
    <w:p>
      <w:r>
        <w:br w:type="page"/>
      </w:r>
    </w:p>
    <w:p>
      <w:pPr>
        <w:spacing w:after="60" w:before="200"/>
      </w:pPr>
      <w:r>
        <w:rPr>
          <w:b/>
          <w:bCs/>
          <w:color w:val="6E4B8A"/>
          <w:sz w:val="24"/>
          <w:szCs w:val="24"/>
        </w:rPr>
        <w:t xml:space="preserve">PART B</w:t>
      </w:r>
    </w:p>
    <w:p>
      <w:pPr>
        <w:pBdr>
          <w:bottom w:val="single" w:color="2E5A6B" w:sz="12"/>
        </w:pBdr>
        <w:spacing w:after="120"/>
      </w:pPr>
      <w:r>
        <w:rPr>
          <w:b/>
          <w:bCs/>
          <w:color w:val="2E5A6B"/>
          <w:sz w:val="34"/>
          <w:szCs w:val="34"/>
        </w:rPr>
        <w:t xml:space="preserve">Implementation science framing</w:t>
      </w:r>
    </w:p>
    <w:p>
      <w:pPr>
        <w:pStyle w:val="Heading1"/>
        <w:spacing w:after="140" w:before="320"/>
      </w:pPr>
      <w:r>
        <w:rPr>
          <w:b/>
          <w:bCs/>
          <w:color w:val="2E5A6B"/>
          <w:sz w:val="30"/>
          <w:szCs w:val="30"/>
        </w:rPr>
        <w:t xml:space="preserve">7. Implementation approach and frameworks</w:t>
      </w:r>
    </w:p>
    <w:p>
      <w:pPr>
        <w:spacing w:after="120" w:before="0" w:line="276"/>
      </w:pPr>
      <w:r>
        <w:rPr>
          <w:color w:val="1A1A1A"/>
          <w:sz w:val="21"/>
          <w:szCs w:val="21"/>
        </w:rPr>
        <w:t xml:space="preserve">A predictor that is valid but not adopted changes nothing. This project treats implementation as a first-class objective and organises it around three established frameworks: CFIR to diagnose the determinants of implementation, RE-AIM to define success dimensions, and Proctor's taxonomy to name the implementation outcomes measured.</w:t>
      </w:r>
    </w:p>
    <w:p>
      <w:pPr>
        <w:pStyle w:val="Heading2"/>
        <w:spacing w:after="100" w:before="240"/>
      </w:pPr>
      <w:r>
        <w:rPr>
          <w:b/>
          <w:bCs/>
          <w:color w:val="6E4B8A"/>
          <w:sz w:val="25"/>
          <w:szCs w:val="25"/>
        </w:rPr>
        <w:t xml:space="preserve">7.1 Determinants (CFIR-aligned)</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1900"/>
        <w:gridCol w:w="3730"/>
        <w:gridCol w:w="3730"/>
      </w:tblGrid>
      <w:tr>
        <w:trPr>
          <w:tblHeader/>
        </w:trPr>
        <w:tc>
          <w:tcPr>
            <w:tcW w:type="dxa" w:w="1900"/>
            <w:shd w:fill="E9EEF0" w:color="auto" w:val="clear"/>
            <w:tcMar>
              <w:top w:type="dxa" w:w="60"/>
              <w:left w:type="dxa" w:w="90"/>
              <w:bottom w:type="dxa" w:w="60"/>
              <w:right w:type="dxa" w:w="90"/>
            </w:tcMar>
          </w:tcPr>
          <w:p>
            <w:pPr>
              <w:spacing w:after="20" w:line="250"/>
            </w:pPr>
            <w:r>
              <w:rPr>
                <w:b/>
                <w:bCs/>
                <w:color w:val="1A1A1A"/>
                <w:sz w:val="19"/>
                <w:szCs w:val="19"/>
              </w:rPr>
              <w:t xml:space="preserve">CFIR domain</w:t>
            </w:r>
          </w:p>
        </w:tc>
        <w:tc>
          <w:tcPr>
            <w:tcW w:type="dxa" w:w="3730"/>
            <w:shd w:fill="E9EEF0" w:color="auto" w:val="clear"/>
            <w:tcMar>
              <w:top w:type="dxa" w:w="60"/>
              <w:left w:type="dxa" w:w="90"/>
              <w:bottom w:type="dxa" w:w="60"/>
              <w:right w:type="dxa" w:w="90"/>
            </w:tcMar>
          </w:tcPr>
          <w:p>
            <w:pPr>
              <w:spacing w:after="20" w:line="250"/>
            </w:pPr>
            <w:r>
              <w:rPr>
                <w:b/>
                <w:bCs/>
                <w:color w:val="1A1A1A"/>
                <w:sz w:val="19"/>
                <w:szCs w:val="19"/>
              </w:rPr>
              <w:t xml:space="preserve">Key determinant for Myconductor</w:t>
            </w:r>
          </w:p>
        </w:tc>
        <w:tc>
          <w:tcPr>
            <w:tcW w:type="dxa" w:w="3730"/>
            <w:shd w:fill="E9EEF0" w:color="auto" w:val="clear"/>
            <w:tcMar>
              <w:top w:type="dxa" w:w="60"/>
              <w:left w:type="dxa" w:w="90"/>
              <w:bottom w:type="dxa" w:w="60"/>
              <w:right w:type="dxa" w:w="90"/>
            </w:tcMar>
          </w:tcPr>
          <w:p>
            <w:pPr>
              <w:spacing w:after="20" w:line="250"/>
            </w:pPr>
            <w:r>
              <w:rPr>
                <w:b/>
                <w:bCs/>
                <w:color w:val="1A1A1A"/>
                <w:sz w:val="19"/>
                <w:szCs w:val="19"/>
              </w:rPr>
              <w:t xml:space="preserve">Design response</w:t>
            </w:r>
          </w:p>
        </w:tc>
      </w:tr>
      <w:tr>
        <w:tc>
          <w:tcPr>
            <w:tcW w:type="dxa" w:w="1900"/>
            <w:tcMar>
              <w:top w:type="dxa" w:w="60"/>
              <w:left w:type="dxa" w:w="90"/>
              <w:bottom w:type="dxa" w:w="60"/>
              <w:right w:type="dxa" w:w="90"/>
            </w:tcMar>
          </w:tcPr>
          <w:p>
            <w:pPr>
              <w:spacing w:after="20" w:line="250"/>
            </w:pPr>
            <w:r>
              <w:rPr>
                <w:color w:val="1A1A1A"/>
                <w:sz w:val="19"/>
                <w:szCs w:val="19"/>
              </w:rPr>
              <w:t xml:space="preserve">Innovation</w:t>
            </w:r>
          </w:p>
        </w:tc>
        <w:tc>
          <w:tcPr>
            <w:tcW w:type="dxa" w:w="3730"/>
            <w:tcMar>
              <w:top w:type="dxa" w:w="60"/>
              <w:left w:type="dxa" w:w="90"/>
              <w:bottom w:type="dxa" w:w="60"/>
              <w:right w:type="dxa" w:w="90"/>
            </w:tcMar>
          </w:tcPr>
          <w:p>
            <w:pPr>
              <w:spacing w:after="20" w:line="250"/>
            </w:pPr>
            <w:r>
              <w:rPr>
                <w:color w:val="1A1A1A"/>
                <w:sz w:val="19"/>
                <w:szCs w:val="19"/>
              </w:rPr>
              <w:t xml:space="preserve">Relative advantage over catalogue-only tools; complexity</w:t>
            </w:r>
          </w:p>
        </w:tc>
        <w:tc>
          <w:tcPr>
            <w:tcW w:type="dxa" w:w="3730"/>
            <w:tcMar>
              <w:top w:type="dxa" w:w="60"/>
              <w:left w:type="dxa" w:w="90"/>
              <w:bottom w:type="dxa" w:w="60"/>
              <w:right w:type="dxa" w:w="90"/>
            </w:tcMar>
          </w:tcPr>
          <w:p>
            <w:pPr>
              <w:spacing w:after="20" w:line="250"/>
            </w:pPr>
            <w:r>
              <w:rPr>
                <w:color w:val="1A1A1A"/>
                <w:sz w:val="19"/>
                <w:szCs w:val="19"/>
              </w:rPr>
              <w:t xml:space="preserve">Wraps rather than replaces existing tools; adds only where they stop</w:t>
            </w:r>
          </w:p>
        </w:tc>
      </w:tr>
      <w:tr>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Outer setting</w:t>
            </w:r>
          </w:p>
        </w:tc>
        <w:tc>
          <w:tcPr>
            <w:tcW w:type="dxa" w:w="3730"/>
            <w:shd w:fill="F4F6F7" w:color="auto" w:val="clear"/>
            <w:tcMar>
              <w:top w:type="dxa" w:w="60"/>
              <w:left w:type="dxa" w:w="90"/>
              <w:bottom w:type="dxa" w:w="60"/>
              <w:right w:type="dxa" w:w="90"/>
            </w:tcMar>
          </w:tcPr>
          <w:p>
            <w:pPr>
              <w:spacing w:after="20" w:line="250"/>
            </w:pPr>
            <w:r>
              <w:rPr>
                <w:color w:val="1A1A1A"/>
                <w:sz w:val="19"/>
                <w:szCs w:val="19"/>
              </w:rPr>
              <w:t xml:space="preserve">Privacy law, data sovereignty, surveillance mandates</w:t>
            </w:r>
          </w:p>
        </w:tc>
        <w:tc>
          <w:tcPr>
            <w:tcW w:type="dxa" w:w="3730"/>
            <w:shd w:fill="F4F6F7" w:color="auto" w:val="clear"/>
            <w:tcMar>
              <w:top w:type="dxa" w:w="60"/>
              <w:left w:type="dxa" w:w="90"/>
              <w:bottom w:type="dxa" w:w="60"/>
              <w:right w:type="dxa" w:w="90"/>
            </w:tcMar>
          </w:tcPr>
          <w:p>
            <w:pPr>
              <w:spacing w:after="20" w:line="250"/>
            </w:pPr>
            <w:r>
              <w:rPr>
                <w:color w:val="1A1A1A"/>
                <w:sz w:val="19"/>
                <w:szCs w:val="19"/>
              </w:rPr>
              <w:t xml:space="preserve">On-prem deployment; federated, aggregate-only sharing</w:t>
            </w:r>
          </w:p>
        </w:tc>
      </w:tr>
      <w:tr>
        <w:tc>
          <w:tcPr>
            <w:tcW w:type="dxa" w:w="1900"/>
            <w:tcMar>
              <w:top w:type="dxa" w:w="60"/>
              <w:left w:type="dxa" w:w="90"/>
              <w:bottom w:type="dxa" w:w="60"/>
              <w:right w:type="dxa" w:w="90"/>
            </w:tcMar>
          </w:tcPr>
          <w:p>
            <w:pPr>
              <w:spacing w:after="20" w:line="250"/>
            </w:pPr>
            <w:r>
              <w:rPr>
                <w:color w:val="1A1A1A"/>
                <w:sz w:val="19"/>
                <w:szCs w:val="19"/>
              </w:rPr>
              <w:t xml:space="preserve">Inner setting</w:t>
            </w:r>
          </w:p>
        </w:tc>
        <w:tc>
          <w:tcPr>
            <w:tcW w:type="dxa" w:w="3730"/>
            <w:tcMar>
              <w:top w:type="dxa" w:w="60"/>
              <w:left w:type="dxa" w:w="90"/>
              <w:bottom w:type="dxa" w:w="60"/>
              <w:right w:type="dxa" w:w="90"/>
            </w:tcMar>
          </w:tcPr>
          <w:p>
            <w:pPr>
              <w:spacing w:after="20" w:line="250"/>
            </w:pPr>
            <w:r>
              <w:rPr>
                <w:color w:val="1A1A1A"/>
                <w:sz w:val="19"/>
                <w:szCs w:val="19"/>
              </w:rPr>
              <w:t xml:space="preserve">Lab infrastructure and compatibility</w:t>
            </w:r>
          </w:p>
        </w:tc>
        <w:tc>
          <w:tcPr>
            <w:tcW w:type="dxa" w:w="3730"/>
            <w:tcMar>
              <w:top w:type="dxa" w:w="60"/>
              <w:left w:type="dxa" w:w="90"/>
              <w:bottom w:type="dxa" w:w="60"/>
              <w:right w:type="dxa" w:w="90"/>
            </w:tcMar>
          </w:tcPr>
          <w:p>
            <w:pPr>
              <w:spacing w:after="20" w:line="250"/>
            </w:pPr>
            <w:r>
              <w:rPr>
                <w:color w:val="1A1A1A"/>
                <w:sz w:val="19"/>
                <w:szCs w:val="19"/>
              </w:rPr>
              <w:t xml:space="preserve">Zero-dependency core; offline edge tier; FHIR/LIMS integration</w:t>
            </w:r>
          </w:p>
        </w:tc>
      </w:tr>
      <w:tr>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Individuals</w:t>
            </w:r>
          </w:p>
        </w:tc>
        <w:tc>
          <w:tcPr>
            <w:tcW w:type="dxa" w:w="3730"/>
            <w:shd w:fill="F4F6F7" w:color="auto" w:val="clear"/>
            <w:tcMar>
              <w:top w:type="dxa" w:w="60"/>
              <w:left w:type="dxa" w:w="90"/>
              <w:bottom w:type="dxa" w:w="60"/>
              <w:right w:type="dxa" w:w="90"/>
            </w:tcMar>
          </w:tcPr>
          <w:p>
            <w:pPr>
              <w:spacing w:after="20" w:line="250"/>
            </w:pPr>
            <w:r>
              <w:rPr>
                <w:color w:val="1A1A1A"/>
                <w:sz w:val="19"/>
                <w:szCs w:val="19"/>
              </w:rPr>
              <w:t xml:space="preserve">Clinician and bioinformatician trust</w:t>
            </w:r>
          </w:p>
        </w:tc>
        <w:tc>
          <w:tcPr>
            <w:tcW w:type="dxa" w:w="3730"/>
            <w:shd w:fill="F4F6F7" w:color="auto" w:val="clear"/>
            <w:tcMar>
              <w:top w:type="dxa" w:w="60"/>
              <w:left w:type="dxa" w:w="90"/>
              <w:bottom w:type="dxa" w:w="60"/>
              <w:right w:type="dxa" w:w="90"/>
            </w:tcMar>
          </w:tcPr>
          <w:p>
            <w:pPr>
              <w:spacing w:after="20" w:line="250"/>
            </w:pPr>
            <w:r>
              <w:rPr>
                <w:color w:val="1A1A1A"/>
                <w:sz w:val="19"/>
                <w:szCs w:val="19"/>
              </w:rPr>
              <w:t xml:space="preserve">Explainable predictions; catalogued-vs-predicted separation; abstention</w:t>
            </w:r>
          </w:p>
        </w:tc>
      </w:tr>
      <w:tr>
        <w:tc>
          <w:tcPr>
            <w:tcW w:type="dxa" w:w="1900"/>
            <w:tcMar>
              <w:top w:type="dxa" w:w="60"/>
              <w:left w:type="dxa" w:w="90"/>
              <w:bottom w:type="dxa" w:w="60"/>
              <w:right w:type="dxa" w:w="90"/>
            </w:tcMar>
          </w:tcPr>
          <w:p>
            <w:pPr>
              <w:spacing w:after="20" w:line="250"/>
            </w:pPr>
            <w:r>
              <w:rPr>
                <w:color w:val="1A1A1A"/>
                <w:sz w:val="19"/>
                <w:szCs w:val="19"/>
              </w:rPr>
              <w:t xml:space="preserve">Process</w:t>
            </w:r>
          </w:p>
        </w:tc>
        <w:tc>
          <w:tcPr>
            <w:tcW w:type="dxa" w:w="3730"/>
            <w:tcMar>
              <w:top w:type="dxa" w:w="60"/>
              <w:left w:type="dxa" w:w="90"/>
              <w:bottom w:type="dxa" w:w="60"/>
              <w:right w:type="dxa" w:w="90"/>
            </w:tcMar>
          </w:tcPr>
          <w:p>
            <w:pPr>
              <w:spacing w:after="20" w:line="250"/>
            </w:pPr>
            <w:r>
              <w:rPr>
                <w:color w:val="1A1A1A"/>
                <w:sz w:val="19"/>
                <w:szCs w:val="19"/>
              </w:rPr>
              <w:t xml:space="preserve">Integration into the diagnostic cascade</w:t>
            </w:r>
          </w:p>
        </w:tc>
        <w:tc>
          <w:tcPr>
            <w:tcW w:type="dxa" w:w="3730"/>
            <w:tcMar>
              <w:top w:type="dxa" w:w="60"/>
              <w:left w:type="dxa" w:w="90"/>
              <w:bottom w:type="dxa" w:w="60"/>
              <w:right w:type="dxa" w:w="90"/>
            </w:tcMar>
          </w:tcPr>
          <w:p>
            <w:pPr>
              <w:spacing w:after="20" w:line="250"/>
            </w:pPr>
            <w:r>
              <w:rPr>
                <w:color w:val="1A1A1A"/>
                <w:sz w:val="19"/>
                <w:szCs w:val="19"/>
              </w:rPr>
              <w:t xml:space="preserve">Reflex-testing hooks; standardised, auditable reports</w:t>
            </w:r>
          </w:p>
        </w:tc>
      </w:tr>
    </w:tbl>
    <w:p>
      <w:pPr>
        <w:pStyle w:val="Heading2"/>
        <w:spacing w:after="100" w:before="240"/>
      </w:pPr>
      <w:r>
        <w:rPr>
          <w:b/>
          <w:bCs/>
          <w:color w:val="6E4B8A"/>
          <w:sz w:val="25"/>
          <w:szCs w:val="25"/>
        </w:rPr>
        <w:t xml:space="preserve">7.2 Success dimensions (RE-AIM)</w:t>
      </w:r>
    </w:p>
    <w:p>
      <w:pPr>
        <w:pStyle w:val="ListParagraph"/>
        <w:numPr>
          <w:ilvl w:val="0"/>
          <w:numId w:val="1"/>
        </w:numPr>
        <w:spacing w:after="60" w:line="264"/>
      </w:pPr>
      <w:r>
        <w:rPr>
          <w:b/>
          <w:bCs/>
          <w:color w:val="1A1A1A"/>
          <w:sz w:val="21"/>
          <w:szCs w:val="21"/>
        </w:rPr>
        <w:t xml:space="preserve">Reach: </w:t>
      </w:r>
      <w:r>
        <w:rPr>
          <w:color w:val="1A1A1A"/>
          <w:sz w:val="21"/>
          <w:szCs w:val="21"/>
        </w:rPr>
        <w:t xml:space="preserve">proportion of eligible isolates/specimens processed, including from low-resource sites via the offline tier.</w:t>
      </w:r>
    </w:p>
    <w:p>
      <w:pPr>
        <w:pStyle w:val="ListParagraph"/>
        <w:numPr>
          <w:ilvl w:val="0"/>
          <w:numId w:val="1"/>
        </w:numPr>
        <w:spacing w:after="60" w:line="264"/>
      </w:pPr>
      <w:r>
        <w:rPr>
          <w:b/>
          <w:bCs/>
          <w:color w:val="1A1A1A"/>
          <w:sz w:val="21"/>
          <w:szCs w:val="21"/>
        </w:rPr>
        <w:t xml:space="preserve">Effectiveness: </w:t>
      </w:r>
      <w:r>
        <w:rPr>
          <w:color w:val="1A1A1A"/>
          <w:sz w:val="21"/>
          <w:szCs w:val="21"/>
        </w:rPr>
        <w:t xml:space="preserve">concordance with phenotypic DST, reduction in indeterminate reports, time-to-actionable-result.</w:t>
      </w:r>
    </w:p>
    <w:p>
      <w:pPr>
        <w:pStyle w:val="ListParagraph"/>
        <w:numPr>
          <w:ilvl w:val="0"/>
          <w:numId w:val="1"/>
        </w:numPr>
        <w:spacing w:after="60" w:line="264"/>
      </w:pPr>
      <w:r>
        <w:rPr>
          <w:b/>
          <w:bCs/>
          <w:color w:val="1A1A1A"/>
          <w:sz w:val="21"/>
          <w:szCs w:val="21"/>
        </w:rPr>
        <w:t xml:space="preserve">Adoption: </w:t>
      </w:r>
      <w:r>
        <w:rPr>
          <w:color w:val="1A1A1A"/>
          <w:sz w:val="21"/>
          <w:szCs w:val="21"/>
        </w:rPr>
        <w:t xml:space="preserve">number and diversity of laboratories deploying the tool.</w:t>
      </w:r>
    </w:p>
    <w:p>
      <w:pPr>
        <w:pStyle w:val="ListParagraph"/>
        <w:numPr>
          <w:ilvl w:val="0"/>
          <w:numId w:val="1"/>
        </w:numPr>
        <w:spacing w:after="60" w:line="264"/>
      </w:pPr>
      <w:r>
        <w:rPr>
          <w:b/>
          <w:bCs/>
          <w:color w:val="1A1A1A"/>
          <w:sz w:val="21"/>
          <w:szCs w:val="21"/>
        </w:rPr>
        <w:t xml:space="preserve">Implementation: </w:t>
      </w:r>
      <w:r>
        <w:rPr>
          <w:color w:val="1A1A1A"/>
          <w:sz w:val="21"/>
          <w:szCs w:val="21"/>
        </w:rPr>
        <w:t xml:space="preserve">fidelity of use, catalogue/model version currency, drift-alarm response.</w:t>
      </w:r>
    </w:p>
    <w:p>
      <w:pPr>
        <w:pStyle w:val="ListParagraph"/>
        <w:numPr>
          <w:ilvl w:val="0"/>
          <w:numId w:val="1"/>
        </w:numPr>
        <w:spacing w:after="60" w:line="264"/>
      </w:pPr>
      <w:r>
        <w:rPr>
          <w:b/>
          <w:bCs/>
          <w:color w:val="1A1A1A"/>
          <w:sz w:val="21"/>
          <w:szCs w:val="21"/>
        </w:rPr>
        <w:t xml:space="preserve">Maintenance: </w:t>
      </w:r>
      <w:r>
        <w:rPr>
          <w:color w:val="1A1A1A"/>
          <w:sz w:val="21"/>
          <w:szCs w:val="21"/>
        </w:rPr>
        <w:t xml:space="preserve">sustained use and continued model performance over time.</w:t>
      </w:r>
    </w:p>
    <w:p>
      <w:pPr>
        <w:pStyle w:val="Heading2"/>
        <w:spacing w:after="100" w:before="240"/>
      </w:pPr>
      <w:r>
        <w:rPr>
          <w:b/>
          <w:bCs/>
          <w:color w:val="6E4B8A"/>
          <w:sz w:val="25"/>
          <w:szCs w:val="25"/>
        </w:rPr>
        <w:t xml:space="preserve">7.3 Implementation outcomes (Proctor)</w:t>
      </w:r>
    </w:p>
    <w:p>
      <w:pPr>
        <w:spacing w:after="120" w:before="0" w:line="276"/>
      </w:pPr>
      <w:r>
        <w:rPr>
          <w:color w:val="1A1A1A"/>
          <w:sz w:val="21"/>
          <w:szCs w:val="21"/>
        </w:rPr>
        <w:t xml:space="preserve">Acceptability, appropriateness, feasibility, fidelity, penetration, and sustainability are each assigned at least one measurable indicator in the evaluation plan (Section 15).</w:t>
      </w:r>
    </w:p>
    <w:p>
      <w:pPr>
        <w:pStyle w:val="Heading1"/>
        <w:spacing w:after="140" w:before="320"/>
      </w:pPr>
      <w:r>
        <w:rPr>
          <w:b/>
          <w:bCs/>
          <w:color w:val="2E5A6B"/>
          <w:sz w:val="30"/>
          <w:szCs w:val="30"/>
        </w:rPr>
        <w:t xml:space="preserve">8. Health-system context and workflow fit</w:t>
      </w:r>
    </w:p>
    <w:p>
      <w:pPr>
        <w:spacing w:after="120" w:before="0" w:line="276"/>
      </w:pPr>
      <w:r>
        <w:rPr>
          <w:color w:val="1A1A1A"/>
          <w:sz w:val="21"/>
          <w:szCs w:val="21"/>
        </w:rPr>
        <w:t xml:space="preserve">Myconductor is designed to slot into the existing specimen-to-report cascade rather than to impose a new one. Confirmed positive specimens undergo standardised pre-analytics and sequencing (targeted or whole-genome); Myconductor consumes the resulting variants, applies coverage-gated interpretation, and emits a report with confidence tiers and full provenance for LIMS/EHR integration. Discordant or indeterminate results trigger reflex confirmatory testing, preserving established safety nets.</w:t>
      </w:r>
    </w:p>
    <w:p>
      <w:pPr>
        <w:pStyle w:val="Heading2"/>
        <w:spacing w:after="100" w:before="240"/>
      </w:pPr>
      <w:r>
        <w:rPr>
          <w:b/>
          <w:bCs/>
          <w:color w:val="6E4B8A"/>
          <w:sz w:val="25"/>
          <w:szCs w:val="25"/>
        </w:rPr>
        <w:t xml:space="preserve">8.1 Integration points</w:t>
      </w:r>
    </w:p>
    <w:p>
      <w:pPr>
        <w:pStyle w:val="ListParagraph"/>
        <w:numPr>
          <w:ilvl w:val="0"/>
          <w:numId w:val="1"/>
        </w:numPr>
        <w:spacing w:after="60" w:line="264"/>
      </w:pPr>
      <w:r>
        <w:rPr>
          <w:color w:val="1A1A1A"/>
          <w:sz w:val="21"/>
          <w:szCs w:val="21"/>
        </w:rPr>
        <w:t xml:space="preserve">Upstream: any variant caller or targeted/whole-genome pipeline via the adapter layer.</w:t>
      </w:r>
    </w:p>
    <w:p>
      <w:pPr>
        <w:pStyle w:val="ListParagraph"/>
        <w:numPr>
          <w:ilvl w:val="0"/>
          <w:numId w:val="1"/>
        </w:numPr>
        <w:spacing w:after="60" w:line="264"/>
      </w:pPr>
      <w:r>
        <w:rPr>
          <w:color w:val="1A1A1A"/>
          <w:sz w:val="21"/>
          <w:szCs w:val="21"/>
        </w:rPr>
        <w:t xml:space="preserve">Lateral: existing profilers, whose output can be ingested rather than duplicated.</w:t>
      </w:r>
    </w:p>
    <w:p>
      <w:pPr>
        <w:pStyle w:val="ListParagraph"/>
        <w:numPr>
          <w:ilvl w:val="0"/>
          <w:numId w:val="1"/>
        </w:numPr>
        <w:spacing w:after="60" w:line="264"/>
      </w:pPr>
      <w:r>
        <w:rPr>
          <w:color w:val="1A1A1A"/>
          <w:sz w:val="21"/>
          <w:szCs w:val="21"/>
        </w:rPr>
        <w:t xml:space="preserve">Downstream: FHIR diagnostic bundles for LIMS/EHR, and aggregated observations for surveillance networks.</w:t>
      </w:r>
    </w:p>
    <w:p>
      <w:pPr>
        <w:pStyle w:val="Heading1"/>
        <w:spacing w:after="140" w:before="320"/>
      </w:pPr>
      <w:r>
        <w:rPr>
          <w:b/>
          <w:bCs/>
          <w:color w:val="2E5A6B"/>
          <w:sz w:val="30"/>
          <w:szCs w:val="30"/>
        </w:rPr>
        <w:t xml:space="preserve">9. Deployment tiers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1500"/>
        <w:gridCol w:w="2500"/>
        <w:gridCol w:w="3060"/>
        <w:gridCol w:w="2300"/>
      </w:tblGrid>
      <w:tr>
        <w:trPr>
          <w:tblHeader/>
        </w:trPr>
        <w:tc>
          <w:tcPr>
            <w:tcW w:type="dxa" w:w="1500"/>
            <w:shd w:fill="E9EEF0" w:color="auto" w:val="clear"/>
            <w:tcMar>
              <w:top w:type="dxa" w:w="60"/>
              <w:left w:type="dxa" w:w="90"/>
              <w:bottom w:type="dxa" w:w="60"/>
              <w:right w:type="dxa" w:w="90"/>
            </w:tcMar>
          </w:tcPr>
          <w:p>
            <w:pPr>
              <w:spacing w:after="20" w:line="250"/>
            </w:pPr>
            <w:r>
              <w:rPr>
                <w:b/>
                <w:bCs/>
                <w:color w:val="1A1A1A"/>
                <w:sz w:val="19"/>
                <w:szCs w:val="19"/>
              </w:rPr>
              <w:t xml:space="preserve">Tier</w:t>
            </w:r>
          </w:p>
        </w:tc>
        <w:tc>
          <w:tcPr>
            <w:tcW w:type="dxa" w:w="2500"/>
            <w:shd w:fill="E9EEF0" w:color="auto" w:val="clear"/>
            <w:tcMar>
              <w:top w:type="dxa" w:w="60"/>
              <w:left w:type="dxa" w:w="90"/>
              <w:bottom w:type="dxa" w:w="60"/>
              <w:right w:type="dxa" w:w="90"/>
            </w:tcMar>
          </w:tcPr>
          <w:p>
            <w:pPr>
              <w:spacing w:after="20" w:line="250"/>
            </w:pPr>
            <w:r>
              <w:rPr>
                <w:b/>
                <w:bCs/>
                <w:color w:val="1A1A1A"/>
                <w:sz w:val="19"/>
                <w:szCs w:val="19"/>
              </w:rPr>
              <w:t xml:space="preserve">Setting</w:t>
            </w:r>
          </w:p>
        </w:tc>
        <w:tc>
          <w:tcPr>
            <w:tcW w:type="dxa" w:w="3060"/>
            <w:shd w:fill="E9EEF0" w:color="auto" w:val="clear"/>
            <w:tcMar>
              <w:top w:type="dxa" w:w="60"/>
              <w:left w:type="dxa" w:w="90"/>
              <w:bottom w:type="dxa" w:w="60"/>
              <w:right w:type="dxa" w:w="90"/>
            </w:tcMar>
          </w:tcPr>
          <w:p>
            <w:pPr>
              <w:spacing w:after="20" w:line="250"/>
            </w:pPr>
            <w:r>
              <w:rPr>
                <w:b/>
                <w:bCs/>
                <w:color w:val="1A1A1A"/>
                <w:sz w:val="19"/>
                <w:szCs w:val="19"/>
              </w:rPr>
              <w:t xml:space="preserve">Capability</w:t>
            </w:r>
          </w:p>
        </w:tc>
        <w:tc>
          <w:tcPr>
            <w:tcW w:type="dxa" w:w="2300"/>
            <w:shd w:fill="E9EEF0" w:color="auto" w:val="clear"/>
            <w:tcMar>
              <w:top w:type="dxa" w:w="60"/>
              <w:left w:type="dxa" w:w="90"/>
              <w:bottom w:type="dxa" w:w="60"/>
              <w:right w:type="dxa" w:w="90"/>
            </w:tcMar>
          </w:tcPr>
          <w:p>
            <w:pPr>
              <w:spacing w:after="20" w:line="250"/>
            </w:pPr>
            <w:r>
              <w:rPr>
                <w:b/>
                <w:bCs/>
                <w:color w:val="1A1A1A"/>
                <w:sz w:val="19"/>
                <w:szCs w:val="19"/>
              </w:rPr>
              <w:t xml:space="preserve">Constraint addressed</w:t>
            </w:r>
          </w:p>
        </w:tc>
      </w:tr>
      <w:tr>
        <w:tc>
          <w:tcPr>
            <w:tcW w:type="dxa" w:w="1500"/>
            <w:tcMar>
              <w:top w:type="dxa" w:w="60"/>
              <w:left w:type="dxa" w:w="90"/>
              <w:bottom w:type="dxa" w:w="60"/>
              <w:right w:type="dxa" w:w="90"/>
            </w:tcMar>
          </w:tcPr>
          <w:p>
            <w:pPr>
              <w:spacing w:after="20" w:line="250"/>
            </w:pPr>
            <w:r>
              <w:rPr>
                <w:color w:val="1A1A1A"/>
                <w:sz w:val="19"/>
                <w:szCs w:val="19"/>
              </w:rPr>
              <w:t xml:space="preserve">Cloud / reference</w:t>
            </w:r>
          </w:p>
        </w:tc>
        <w:tc>
          <w:tcPr>
            <w:tcW w:type="dxa" w:w="2500"/>
            <w:tcMar>
              <w:top w:type="dxa" w:w="60"/>
              <w:left w:type="dxa" w:w="90"/>
              <w:bottom w:type="dxa" w:w="60"/>
              <w:right w:type="dxa" w:w="90"/>
            </w:tcMar>
          </w:tcPr>
          <w:p>
            <w:pPr>
              <w:spacing w:after="20" w:line="250"/>
            </w:pPr>
            <w:r>
              <w:rPr>
                <w:color w:val="1A1A1A"/>
                <w:sz w:val="19"/>
                <w:szCs w:val="19"/>
              </w:rPr>
              <w:t xml:space="preserve">Well-resourced reference laboratory</w:t>
            </w:r>
          </w:p>
        </w:tc>
        <w:tc>
          <w:tcPr>
            <w:tcW w:type="dxa" w:w="3060"/>
            <w:tcMar>
              <w:top w:type="dxa" w:w="60"/>
              <w:left w:type="dxa" w:w="90"/>
              <w:bottom w:type="dxa" w:w="60"/>
              <w:right w:type="dxa" w:w="90"/>
            </w:tcMar>
          </w:tcPr>
          <w:p>
            <w:pPr>
              <w:spacing w:after="20" w:line="250"/>
            </w:pPr>
            <w:r>
              <w:rPr>
                <w:color w:val="1A1A1A"/>
                <w:sz w:val="19"/>
                <w:szCs w:val="19"/>
              </w:rPr>
              <w:t xml:space="preserve">Full engine, all lanes, model training, federation coordination</w:t>
            </w:r>
          </w:p>
        </w:tc>
        <w:tc>
          <w:tcPr>
            <w:tcW w:type="dxa" w:w="2300"/>
            <w:tcMar>
              <w:top w:type="dxa" w:w="60"/>
              <w:left w:type="dxa" w:w="90"/>
              <w:bottom w:type="dxa" w:w="60"/>
              <w:right w:type="dxa" w:w="90"/>
            </w:tcMar>
          </w:tcPr>
          <w:p>
            <w:pPr>
              <w:spacing w:after="20" w:line="250"/>
            </w:pPr>
            <w:r>
              <w:rPr>
                <w:color w:val="1A1A1A"/>
                <w:sz w:val="19"/>
                <w:szCs w:val="19"/>
              </w:rPr>
              <w:t xml:space="preserve">Centralised analytics and catalogue curation</w:t>
            </w:r>
          </w:p>
        </w:tc>
      </w:tr>
      <w:tr>
        <w:tc>
          <w:tcPr>
            <w:tcW w:type="dxa" w:w="1500"/>
            <w:shd w:fill="F4F6F7" w:color="auto" w:val="clear"/>
            <w:tcMar>
              <w:top w:type="dxa" w:w="60"/>
              <w:left w:type="dxa" w:w="90"/>
              <w:bottom w:type="dxa" w:w="60"/>
              <w:right w:type="dxa" w:w="90"/>
            </w:tcMar>
          </w:tcPr>
          <w:p>
            <w:pPr>
              <w:spacing w:after="20" w:line="250"/>
            </w:pPr>
            <w:r>
              <w:rPr>
                <w:color w:val="1A1A1A"/>
                <w:sz w:val="19"/>
                <w:szCs w:val="19"/>
              </w:rPr>
              <w:t xml:space="preserve">On-premise</w:t>
            </w:r>
          </w:p>
        </w:tc>
        <w:tc>
          <w:tcPr>
            <w:tcW w:type="dxa" w:w="2500"/>
            <w:shd w:fill="F4F6F7" w:color="auto" w:val="clear"/>
            <w:tcMar>
              <w:top w:type="dxa" w:w="60"/>
              <w:left w:type="dxa" w:w="90"/>
              <w:bottom w:type="dxa" w:w="60"/>
              <w:right w:type="dxa" w:w="90"/>
            </w:tcMar>
          </w:tcPr>
          <w:p>
            <w:pPr>
              <w:spacing w:after="20" w:line="250"/>
            </w:pPr>
            <w:r>
              <w:rPr>
                <w:color w:val="1A1A1A"/>
                <w:sz w:val="19"/>
                <w:szCs w:val="19"/>
              </w:rPr>
              <w:t xml:space="preserve">Hospital or national lab with local compute</w:t>
            </w:r>
          </w:p>
        </w:tc>
        <w:tc>
          <w:tcPr>
            <w:tcW w:type="dxa" w:w="3060"/>
            <w:shd w:fill="F4F6F7" w:color="auto" w:val="clear"/>
            <w:tcMar>
              <w:top w:type="dxa" w:w="60"/>
              <w:left w:type="dxa" w:w="90"/>
              <w:bottom w:type="dxa" w:w="60"/>
              <w:right w:type="dxa" w:w="90"/>
            </w:tcMar>
          </w:tcPr>
          <w:p>
            <w:pPr>
              <w:spacing w:after="20" w:line="250"/>
            </w:pPr>
            <w:r>
              <w:rPr>
                <w:color w:val="1A1A1A"/>
                <w:sz w:val="19"/>
                <w:szCs w:val="19"/>
              </w:rPr>
              <w:t xml:space="preserve">Full inference locally; shares only aggregates</w:t>
            </w:r>
          </w:p>
        </w:tc>
        <w:tc>
          <w:tcPr>
            <w:tcW w:type="dxa" w:w="2300"/>
            <w:shd w:fill="F4F6F7" w:color="auto" w:val="clear"/>
            <w:tcMar>
              <w:top w:type="dxa" w:w="60"/>
              <w:left w:type="dxa" w:w="90"/>
              <w:bottom w:type="dxa" w:w="60"/>
              <w:right w:type="dxa" w:w="90"/>
            </w:tcMar>
          </w:tcPr>
          <w:p>
            <w:pPr>
              <w:spacing w:after="20" w:line="250"/>
            </w:pPr>
            <w:r>
              <w:rPr>
                <w:color w:val="1A1A1A"/>
                <w:sz w:val="19"/>
                <w:szCs w:val="19"/>
              </w:rPr>
              <w:t xml:space="preserve">Data sovereignty and privacy law</w:t>
            </w:r>
          </w:p>
        </w:tc>
      </w:tr>
      <w:tr>
        <w:tc>
          <w:tcPr>
            <w:tcW w:type="dxa" w:w="1500"/>
            <w:tcMar>
              <w:top w:type="dxa" w:w="60"/>
              <w:left w:type="dxa" w:w="90"/>
              <w:bottom w:type="dxa" w:w="60"/>
              <w:right w:type="dxa" w:w="90"/>
            </w:tcMar>
          </w:tcPr>
          <w:p>
            <w:pPr>
              <w:spacing w:after="20" w:line="250"/>
            </w:pPr>
            <w:r>
              <w:rPr>
                <w:color w:val="1A1A1A"/>
                <w:sz w:val="19"/>
                <w:szCs w:val="19"/>
              </w:rPr>
              <w:t xml:space="preserve">Offline edge</w:t>
            </w:r>
          </w:p>
        </w:tc>
        <w:tc>
          <w:tcPr>
            <w:tcW w:type="dxa" w:w="2500"/>
            <w:tcMar>
              <w:top w:type="dxa" w:w="60"/>
              <w:left w:type="dxa" w:w="90"/>
              <w:bottom w:type="dxa" w:w="60"/>
              <w:right w:type="dxa" w:w="90"/>
            </w:tcMar>
          </w:tcPr>
          <w:p>
            <w:pPr>
              <w:spacing w:after="20" w:line="250"/>
            </w:pPr>
            <w:r>
              <w:rPr>
                <w:color w:val="1A1A1A"/>
                <w:sz w:val="19"/>
                <w:szCs w:val="19"/>
              </w:rPr>
              <w:t xml:space="preserve">Low-resource / rural clinic</w:t>
            </w:r>
          </w:p>
        </w:tc>
        <w:tc>
          <w:tcPr>
            <w:tcW w:type="dxa" w:w="3060"/>
            <w:tcMar>
              <w:top w:type="dxa" w:w="60"/>
              <w:left w:type="dxa" w:w="90"/>
              <w:bottom w:type="dxa" w:w="60"/>
              <w:right w:type="dxa" w:w="90"/>
            </w:tcMar>
          </w:tcPr>
          <w:p>
            <w:pPr>
              <w:spacing w:after="20" w:line="250"/>
            </w:pPr>
            <w:r>
              <w:rPr>
                <w:color w:val="1A1A1A"/>
                <w:sz w:val="19"/>
                <w:szCs w:val="19"/>
              </w:rPr>
              <w:t xml:space="preserve">Catalogue + cached models; no network required</w:t>
            </w:r>
          </w:p>
        </w:tc>
        <w:tc>
          <w:tcPr>
            <w:tcW w:type="dxa" w:w="2300"/>
            <w:tcMar>
              <w:top w:type="dxa" w:w="60"/>
              <w:left w:type="dxa" w:w="90"/>
              <w:bottom w:type="dxa" w:w="60"/>
              <w:right w:type="dxa" w:w="90"/>
            </w:tcMar>
          </w:tcPr>
          <w:p>
            <w:pPr>
              <w:spacing w:after="20" w:line="250"/>
            </w:pPr>
            <w:r>
              <w:rPr>
                <w:color w:val="1A1A1A"/>
                <w:sz w:val="19"/>
                <w:szCs w:val="19"/>
              </w:rPr>
              <w:t xml:space="preserve">The majority of high-burden settings lacking sequencing/compute infrastructure</w:t>
            </w:r>
          </w:p>
        </w:tc>
      </w:tr>
    </w:tbl>
    <w:p>
      <w:pPr>
        <w:spacing w:after="120" w:before="0" w:line="276"/>
      </w:pPr>
      <w:r>
        <w:rPr>
          <w:b/>
          <w:bCs/>
          <w:color w:val="1A1A1A"/>
          <w:sz w:val="21"/>
          <w:szCs w:val="21"/>
        </w:rPr>
        <w:t xml:space="preserve">Design consequence. </w:t>
      </w:r>
      <w:r>
        <w:rPr>
          <w:color w:val="1A1A1A"/>
          <w:sz w:val="21"/>
          <w:szCs w:val="21"/>
        </w:rPr>
        <w:t xml:space="preserve">The zero-dependency, offline-capable core is not merely an engineering nicety; it is the mechanism by which the tool reaches the settings where drug-resistant disease burden is highest and infrastructure is weakest.</w:t>
      </w:r>
    </w:p>
    <w:p>
      <w:pPr>
        <w:pStyle w:val="Heading1"/>
        <w:spacing w:after="140" w:before="320"/>
      </w:pPr>
      <w:r>
        <w:rPr>
          <w:b/>
          <w:bCs/>
          <w:color w:val="2E5A6B"/>
          <w:sz w:val="30"/>
          <w:szCs w:val="30"/>
        </w:rPr>
        <w:t xml:space="preserve">10. Data governance, privacy, and federation</w:t>
      </w:r>
    </w:p>
    <w:p>
      <w:pPr>
        <w:pStyle w:val="ListParagraph"/>
        <w:numPr>
          <w:ilvl w:val="0"/>
          <w:numId w:val="1"/>
        </w:numPr>
        <w:spacing w:after="60" w:line="264"/>
      </w:pPr>
      <w:r>
        <w:rPr>
          <w:color w:val="1A1A1A"/>
          <w:sz w:val="21"/>
          <w:szCs w:val="21"/>
        </w:rPr>
        <w:t xml:space="preserve">Patient genomes never leave the originating site; only de-identified, aggregated variant-to-phenotype tallies are shared.</w:t>
      </w:r>
    </w:p>
    <w:p>
      <w:pPr>
        <w:pStyle w:val="ListParagraph"/>
        <w:numPr>
          <w:ilvl w:val="0"/>
          <w:numId w:val="1"/>
        </w:numPr>
        <w:spacing w:after="60" w:line="264"/>
      </w:pPr>
      <w:r>
        <w:rPr>
          <w:color w:val="1A1A1A"/>
          <w:sz w:val="21"/>
          <w:szCs w:val="21"/>
        </w:rPr>
        <w:t xml:space="preserve">Shared observations carry no patient identifiers and no raw sequence, by construction of the shareable data type.</w:t>
      </w:r>
    </w:p>
    <w:p>
      <w:pPr>
        <w:pStyle w:val="ListParagraph"/>
        <w:numPr>
          <w:ilvl w:val="0"/>
          <w:numId w:val="1"/>
        </w:numPr>
        <w:spacing w:after="60" w:line="264"/>
      </w:pPr>
      <w:r>
        <w:rPr>
          <w:color w:val="1A1A1A"/>
          <w:sz w:val="21"/>
          <w:szCs w:val="21"/>
        </w:rPr>
        <w:t xml:space="preserve">Catalogue promotion requires multi-site concordant evidence above an explicit threshold, protecting against single-site artefacts.</w:t>
      </w:r>
    </w:p>
    <w:p>
      <w:pPr>
        <w:pStyle w:val="ListParagraph"/>
        <w:numPr>
          <w:ilvl w:val="0"/>
          <w:numId w:val="1"/>
        </w:numPr>
        <w:spacing w:after="60" w:line="264"/>
      </w:pPr>
      <w:r>
        <w:rPr>
          <w:color w:val="1A1A1A"/>
          <w:sz w:val="21"/>
          <w:szCs w:val="21"/>
        </w:rPr>
        <w:t xml:space="preserve">All model and catalogue versions are recorded in each report for auditability and reproducibility.</w:t>
      </w:r>
    </w:p>
    <w:p>
      <w:pPr>
        <w:pStyle w:val="ListParagraph"/>
        <w:numPr>
          <w:ilvl w:val="0"/>
          <w:numId w:val="1"/>
        </w:numPr>
        <w:spacing w:after="60" w:line="264"/>
      </w:pPr>
      <w:r>
        <w:rPr>
          <w:color w:val="1A1A1A"/>
          <w:sz w:val="21"/>
          <w:szCs w:val="21"/>
        </w:rPr>
        <w:t xml:space="preserve">Governance aligns to local regulatory regimes; the architecture assumes the strictest (on-prem, aggregate-only) case as default.</w:t>
      </w:r>
    </w:p>
    <w:p>
      <w:pPr>
        <w:pStyle w:val="Heading1"/>
        <w:spacing w:after="140" w:before="320"/>
      </w:pPr>
      <w:r>
        <w:rPr>
          <w:b/>
          <w:bCs/>
          <w:color w:val="2E5A6B"/>
          <w:sz w:val="30"/>
          <w:szCs w:val="30"/>
        </w:rPr>
        <w:t xml:space="preserve">11. Human-in-the-loop and clinical safety</w:t>
      </w:r>
    </w:p>
    <w:p>
      <w:pPr>
        <w:spacing w:after="120" w:before="0" w:line="276"/>
      </w:pPr>
      <w:r>
        <w:rPr>
          <w:color w:val="1A1A1A"/>
          <w:sz w:val="21"/>
          <w:szCs w:val="21"/>
        </w:rPr>
        <w:t xml:space="preserve">Automation bias is a primary safety risk. Three design commitments mitigate it: predicted calls are visually and structurally separated from catalogued calls and marked preliminary in machine-readable output; the models abstain rather than guess near decision boundaries; and discovery-loop proposals are labelled as research leads. The system informs a qualified human decision; it does not make the decision.</w:t>
      </w:r>
    </w:p>
    <w:p>
      <w:pPr>
        <w:pStyle w:val="Heading1"/>
        <w:spacing w:after="140" w:before="320"/>
      </w:pPr>
      <w:r>
        <w:rPr>
          <w:b/>
          <w:bCs/>
          <w:color w:val="2E5A6B"/>
          <w:sz w:val="30"/>
          <w:szCs w:val="30"/>
        </w:rPr>
        <w:t xml:space="preserve">12. Adoption, capacity-building, and sustainability</w:t>
      </w:r>
    </w:p>
    <w:p>
      <w:pPr>
        <w:pStyle w:val="ListParagraph"/>
        <w:numPr>
          <w:ilvl w:val="0"/>
          <w:numId w:val="1"/>
        </w:numPr>
        <w:spacing w:after="60" w:line="264"/>
      </w:pPr>
      <w:r>
        <w:rPr>
          <w:color w:val="1A1A1A"/>
          <w:sz w:val="21"/>
          <w:szCs w:val="21"/>
        </w:rPr>
        <w:t xml:space="preserve">Capacity-building materials and a demonstrable offline demo lower the barrier for new sites.</w:t>
      </w:r>
    </w:p>
    <w:p>
      <w:pPr>
        <w:pStyle w:val="ListParagraph"/>
        <w:numPr>
          <w:ilvl w:val="0"/>
          <w:numId w:val="1"/>
        </w:numPr>
        <w:spacing w:after="60" w:line="264"/>
      </w:pPr>
      <w:r>
        <w:rPr>
          <w:color w:val="1A1A1A"/>
          <w:sz w:val="21"/>
          <w:szCs w:val="21"/>
        </w:rPr>
        <w:t xml:space="preserve">Catalogue and model maintenance are continuous via the federated loop rather than dependent on infrequent manual releases.</w:t>
      </w:r>
    </w:p>
    <w:p>
      <w:pPr>
        <w:pStyle w:val="ListParagraph"/>
        <w:numPr>
          <w:ilvl w:val="0"/>
          <w:numId w:val="1"/>
        </w:numPr>
        <w:spacing w:after="60" w:line="264"/>
      </w:pPr>
      <w:r>
        <w:rPr>
          <w:color w:val="1A1A1A"/>
          <w:sz w:val="21"/>
          <w:szCs w:val="21"/>
        </w:rPr>
        <w:t xml:space="preserve">Drift monitoring defines a maintenance cadence: an alarm triggers revalidation rather than waiting for scheduled review.</w:t>
      </w:r>
    </w:p>
    <w:p>
      <w:pPr>
        <w:pStyle w:val="ListParagraph"/>
        <w:numPr>
          <w:ilvl w:val="0"/>
          <w:numId w:val="1"/>
        </w:numPr>
        <w:spacing w:after="60" w:line="264"/>
      </w:pPr>
      <w:r>
        <w:rPr>
          <w:color w:val="1A1A1A"/>
          <w:sz w:val="21"/>
          <w:szCs w:val="21"/>
        </w:rPr>
        <w:t xml:space="preserve">Open interfaces and a permissive licence reduce lock-in and support community stewardship.</w:t>
      </w:r>
    </w:p>
    <w:p>
      <w:pPr>
        <w:pStyle w:val="Heading1"/>
        <w:spacing w:after="140" w:before="320"/>
      </w:pPr>
      <w:r>
        <w:rPr>
          <w:b/>
          <w:bCs/>
          <w:color w:val="2E5A6B"/>
          <w:sz w:val="30"/>
          <w:szCs w:val="30"/>
        </w:rPr>
        <w:t xml:space="preserve">13. Equity considerations</w:t>
      </w:r>
    </w:p>
    <w:p>
      <w:pPr>
        <w:spacing w:after="120" w:before="0" w:line="276"/>
      </w:pPr>
      <w:r>
        <w:rPr>
          <w:color w:val="1A1A1A"/>
          <w:sz w:val="21"/>
          <w:szCs w:val="21"/>
        </w:rPr>
        <w:t xml:space="preserve">Equity is addressed on three axes: access (the offline tier extends reach to under-served settings), performance parity (federated evaluation surfaces lineage/geographic performance gaps for correction), and data justice (federation lets contributing sites benefit from pooled learning without surrendering control of their patients' data).</w:t>
      </w:r>
    </w:p>
    <w:p>
      <w:pPr>
        <w:pStyle w:val="Heading1"/>
        <w:spacing w:after="140" w:before="320"/>
      </w:pPr>
      <w:r>
        <w:rPr>
          <w:b/>
          <w:bCs/>
          <w:color w:val="2E5A6B"/>
          <w:sz w:val="30"/>
          <w:szCs w:val="30"/>
        </w:rPr>
        <w:t xml:space="preserve">14. Barriers, facilitators, and risks</w:t>
      </w:r>
    </w:p>
    <w:p>
      <w:pPr>
        <w:pStyle w:val="Heading2"/>
        <w:spacing w:after="100" w:before="240"/>
      </w:pPr>
      <w:r>
        <w:rPr>
          <w:b/>
          <w:bCs/>
          <w:color w:val="6E4B8A"/>
          <w:sz w:val="25"/>
          <w:szCs w:val="25"/>
        </w:rPr>
        <w:t xml:space="preserve">14.1 Barriers and facilitators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4680"/>
        <w:gridCol w:w="4680"/>
      </w:tblGrid>
      <w:tr>
        <w:trPr>
          <w:tblHeader/>
        </w:trPr>
        <w:tc>
          <w:tcPr>
            <w:tcW w:type="dxa" w:w="4680"/>
            <w:shd w:fill="E9EEF0" w:color="auto" w:val="clear"/>
            <w:tcMar>
              <w:top w:type="dxa" w:w="60"/>
              <w:left w:type="dxa" w:w="90"/>
              <w:bottom w:type="dxa" w:w="60"/>
              <w:right w:type="dxa" w:w="90"/>
            </w:tcMar>
          </w:tcPr>
          <w:p>
            <w:pPr>
              <w:spacing w:after="20" w:line="250"/>
            </w:pPr>
            <w:r>
              <w:rPr>
                <w:b/>
                <w:bCs/>
                <w:color w:val="1A1A1A"/>
                <w:sz w:val="19"/>
                <w:szCs w:val="19"/>
              </w:rPr>
              <w:t xml:space="preserve">Barrier</w:t>
            </w:r>
          </w:p>
        </w:tc>
        <w:tc>
          <w:tcPr>
            <w:tcW w:type="dxa" w:w="4680"/>
            <w:shd w:fill="E9EEF0" w:color="auto" w:val="clear"/>
            <w:tcMar>
              <w:top w:type="dxa" w:w="60"/>
              <w:left w:type="dxa" w:w="90"/>
              <w:bottom w:type="dxa" w:w="60"/>
              <w:right w:type="dxa" w:w="90"/>
            </w:tcMar>
          </w:tcPr>
          <w:p>
            <w:pPr>
              <w:spacing w:after="20" w:line="250"/>
            </w:pPr>
            <w:r>
              <w:rPr>
                <w:b/>
                <w:bCs/>
                <w:color w:val="1A1A1A"/>
                <w:sz w:val="19"/>
                <w:szCs w:val="19"/>
              </w:rPr>
              <w:t xml:space="preserve">Facilitator / mitigation</w:t>
            </w:r>
          </w:p>
        </w:tc>
      </w:tr>
      <w:tr>
        <w:tc>
          <w:tcPr>
            <w:tcW w:type="dxa" w:w="4680"/>
            <w:tcMar>
              <w:top w:type="dxa" w:w="60"/>
              <w:left w:type="dxa" w:w="90"/>
              <w:bottom w:type="dxa" w:w="60"/>
              <w:right w:type="dxa" w:w="90"/>
            </w:tcMar>
          </w:tcPr>
          <w:p>
            <w:pPr>
              <w:spacing w:after="20" w:line="250"/>
            </w:pPr>
            <w:r>
              <w:rPr>
                <w:color w:val="1A1A1A"/>
                <w:sz w:val="19"/>
                <w:szCs w:val="19"/>
              </w:rPr>
              <w:t xml:space="preserve">Sequencing and compute scarcity in high-burden settings</w:t>
            </w:r>
          </w:p>
        </w:tc>
        <w:tc>
          <w:tcPr>
            <w:tcW w:type="dxa" w:w="4680"/>
            <w:tcMar>
              <w:top w:type="dxa" w:w="60"/>
              <w:left w:type="dxa" w:w="90"/>
              <w:bottom w:type="dxa" w:w="60"/>
              <w:right w:type="dxa" w:w="90"/>
            </w:tcMar>
          </w:tcPr>
          <w:p>
            <w:pPr>
              <w:spacing w:after="20" w:line="250"/>
            </w:pPr>
            <w:r>
              <w:rPr>
                <w:color w:val="1A1A1A"/>
                <w:sz w:val="19"/>
                <w:szCs w:val="19"/>
              </w:rPr>
              <w:t xml:space="preserve">Offline edge tier; zero-dependency core; targeted-sequencing support</w:t>
            </w:r>
          </w:p>
        </w:tc>
      </w:tr>
      <w:tr>
        <w:tc>
          <w:tcPr>
            <w:tcW w:type="dxa" w:w="4680"/>
            <w:shd w:fill="F4F6F7" w:color="auto" w:val="clear"/>
            <w:tcMar>
              <w:top w:type="dxa" w:w="60"/>
              <w:left w:type="dxa" w:w="90"/>
              <w:bottom w:type="dxa" w:w="60"/>
              <w:right w:type="dxa" w:w="90"/>
            </w:tcMar>
          </w:tcPr>
          <w:p>
            <w:pPr>
              <w:spacing w:after="20" w:line="250"/>
            </w:pPr>
            <w:r>
              <w:rPr>
                <w:color w:val="1A1A1A"/>
                <w:sz w:val="19"/>
                <w:szCs w:val="19"/>
              </w:rPr>
              <w:t xml:space="preserve">Clinician distrust of ML predictions</w:t>
            </w:r>
          </w:p>
        </w:tc>
        <w:tc>
          <w:tcPr>
            <w:tcW w:type="dxa" w:w="4680"/>
            <w:shd w:fill="F4F6F7" w:color="auto" w:val="clear"/>
            <w:tcMar>
              <w:top w:type="dxa" w:w="60"/>
              <w:left w:type="dxa" w:w="90"/>
              <w:bottom w:type="dxa" w:w="60"/>
              <w:right w:type="dxa" w:w="90"/>
            </w:tcMar>
          </w:tcPr>
          <w:p>
            <w:pPr>
              <w:spacing w:after="20" w:line="250"/>
            </w:pPr>
            <w:r>
              <w:rPr>
                <w:color w:val="1A1A1A"/>
                <w:sz w:val="19"/>
                <w:szCs w:val="19"/>
              </w:rPr>
              <w:t xml:space="preserve">Explainability, abstention, and strict catalogued-vs-predicted separation</w:t>
            </w:r>
          </w:p>
        </w:tc>
      </w:tr>
      <w:tr>
        <w:tc>
          <w:tcPr>
            <w:tcW w:type="dxa" w:w="4680"/>
            <w:tcMar>
              <w:top w:type="dxa" w:w="60"/>
              <w:left w:type="dxa" w:w="90"/>
              <w:bottom w:type="dxa" w:w="60"/>
              <w:right w:type="dxa" w:w="90"/>
            </w:tcMar>
          </w:tcPr>
          <w:p>
            <w:pPr>
              <w:spacing w:after="20" w:line="250"/>
            </w:pPr>
            <w:r>
              <w:rPr>
                <w:color w:val="1A1A1A"/>
                <w:sz w:val="19"/>
                <w:szCs w:val="19"/>
              </w:rPr>
              <w:t xml:space="preserve">Privacy/sovereignty law blocking data pooling</w:t>
            </w:r>
          </w:p>
        </w:tc>
        <w:tc>
          <w:tcPr>
            <w:tcW w:type="dxa" w:w="4680"/>
            <w:tcMar>
              <w:top w:type="dxa" w:w="60"/>
              <w:left w:type="dxa" w:w="90"/>
              <w:bottom w:type="dxa" w:w="60"/>
              <w:right w:type="dxa" w:w="90"/>
            </w:tcMar>
          </w:tcPr>
          <w:p>
            <w:pPr>
              <w:spacing w:after="20" w:line="250"/>
            </w:pPr>
            <w:r>
              <w:rPr>
                <w:color w:val="1A1A1A"/>
                <w:sz w:val="19"/>
                <w:szCs w:val="19"/>
              </w:rPr>
              <w:t xml:space="preserve">Federated, aggregate-only learning; on-prem default</w:t>
            </w:r>
          </w:p>
        </w:tc>
      </w:tr>
      <w:tr>
        <w:tc>
          <w:tcPr>
            <w:tcW w:type="dxa" w:w="4680"/>
            <w:shd w:fill="F4F6F7" w:color="auto" w:val="clear"/>
            <w:tcMar>
              <w:top w:type="dxa" w:w="60"/>
              <w:left w:type="dxa" w:w="90"/>
              <w:bottom w:type="dxa" w:w="60"/>
              <w:right w:type="dxa" w:w="90"/>
            </w:tcMar>
          </w:tcPr>
          <w:p>
            <w:pPr>
              <w:spacing w:after="20" w:line="250"/>
            </w:pPr>
            <w:r>
              <w:rPr>
                <w:color w:val="1A1A1A"/>
                <w:sz w:val="19"/>
                <w:szCs w:val="19"/>
              </w:rPr>
              <w:t xml:space="preserve">Regulatory uncertainty for ML-based interpretation</w:t>
            </w:r>
          </w:p>
        </w:tc>
        <w:tc>
          <w:tcPr>
            <w:tcW w:type="dxa" w:w="4680"/>
            <w:shd w:fill="F4F6F7" w:color="auto" w:val="clear"/>
            <w:tcMar>
              <w:top w:type="dxa" w:w="60"/>
              <w:left w:type="dxa" w:w="90"/>
              <w:bottom w:type="dxa" w:w="60"/>
              <w:right w:type="dxa" w:w="90"/>
            </w:tcMar>
          </w:tcPr>
          <w:p>
            <w:pPr>
              <w:spacing w:after="20" w:line="250"/>
            </w:pPr>
            <w:r>
              <w:rPr>
                <w:color w:val="1A1A1A"/>
                <w:sz w:val="19"/>
                <w:szCs w:val="19"/>
              </w:rPr>
              <w:t xml:space="preserve">Decision-support (not device) posture; silent-evaluation before clinical influence</w:t>
            </w:r>
          </w:p>
        </w:tc>
      </w:tr>
      <w:tr>
        <w:tc>
          <w:tcPr>
            <w:tcW w:type="dxa" w:w="4680"/>
            <w:tcMar>
              <w:top w:type="dxa" w:w="60"/>
              <w:left w:type="dxa" w:w="90"/>
              <w:bottom w:type="dxa" w:w="60"/>
              <w:right w:type="dxa" w:w="90"/>
            </w:tcMar>
          </w:tcPr>
          <w:p>
            <w:pPr>
              <w:spacing w:after="20" w:line="250"/>
            </w:pPr>
            <w:r>
              <w:rPr>
                <w:color w:val="1A1A1A"/>
                <w:sz w:val="19"/>
                <w:szCs w:val="19"/>
              </w:rPr>
              <w:t xml:space="preserve">Catalogue staleness for new drugs</w:t>
            </w:r>
          </w:p>
        </w:tc>
        <w:tc>
          <w:tcPr>
            <w:tcW w:type="dxa" w:w="4680"/>
            <w:tcMar>
              <w:top w:type="dxa" w:w="60"/>
              <w:left w:type="dxa" w:w="90"/>
              <w:bottom w:type="dxa" w:w="60"/>
              <w:right w:type="dxa" w:w="90"/>
            </w:tcMar>
          </w:tcPr>
          <w:p>
            <w:pPr>
              <w:spacing w:after="20" w:line="250"/>
            </w:pPr>
            <w:r>
              <w:rPr>
                <w:color w:val="1A1A1A"/>
                <w:sz w:val="19"/>
                <w:szCs w:val="19"/>
              </w:rPr>
              <w:t xml:space="preserve">Living catalogue with provisional grading via federation</w:t>
            </w:r>
          </w:p>
        </w:tc>
      </w:tr>
    </w:tbl>
    <w:p>
      <w:pPr>
        <w:pStyle w:val="Heading2"/>
        <w:spacing w:after="100" w:before="240"/>
      </w:pPr>
      <w:r>
        <w:rPr>
          <w:b/>
          <w:bCs/>
          <w:color w:val="6E4B8A"/>
          <w:sz w:val="25"/>
          <w:szCs w:val="25"/>
        </w:rPr>
        <w:t xml:space="preserve">14.2 Risk register (selected)</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3200"/>
        <w:gridCol w:w="1400"/>
        <w:gridCol w:w="1400"/>
        <w:gridCol w:w="3360"/>
      </w:tblGrid>
      <w:tr>
        <w:trPr>
          <w:tblHeader/>
        </w:trPr>
        <w:tc>
          <w:tcPr>
            <w:tcW w:type="dxa" w:w="3200"/>
            <w:shd w:fill="E9EEF0" w:color="auto" w:val="clear"/>
            <w:tcMar>
              <w:top w:type="dxa" w:w="60"/>
              <w:left w:type="dxa" w:w="90"/>
              <w:bottom w:type="dxa" w:w="60"/>
              <w:right w:type="dxa" w:w="90"/>
            </w:tcMar>
          </w:tcPr>
          <w:p>
            <w:pPr>
              <w:spacing w:after="20" w:line="250"/>
            </w:pPr>
            <w:r>
              <w:rPr>
                <w:b/>
                <w:bCs/>
                <w:color w:val="1A1A1A"/>
                <w:sz w:val="19"/>
                <w:szCs w:val="19"/>
              </w:rPr>
              <w:t xml:space="preserve">Risk</w:t>
            </w:r>
          </w:p>
        </w:tc>
        <w:tc>
          <w:tcPr>
            <w:tcW w:type="dxa" w:w="1400"/>
            <w:shd w:fill="E9EEF0" w:color="auto" w:val="clear"/>
            <w:tcMar>
              <w:top w:type="dxa" w:w="60"/>
              <w:left w:type="dxa" w:w="90"/>
              <w:bottom w:type="dxa" w:w="60"/>
              <w:right w:type="dxa" w:w="90"/>
            </w:tcMar>
          </w:tcPr>
          <w:p>
            <w:pPr>
              <w:spacing w:after="20" w:line="250"/>
            </w:pPr>
            <w:r>
              <w:rPr>
                <w:b/>
                <w:bCs/>
                <w:color w:val="1A1A1A"/>
                <w:sz w:val="19"/>
                <w:szCs w:val="19"/>
              </w:rPr>
              <w:t xml:space="preserve">Likelihood</w:t>
            </w:r>
          </w:p>
        </w:tc>
        <w:tc>
          <w:tcPr>
            <w:tcW w:type="dxa" w:w="1400"/>
            <w:shd w:fill="E9EEF0" w:color="auto" w:val="clear"/>
            <w:tcMar>
              <w:top w:type="dxa" w:w="60"/>
              <w:left w:type="dxa" w:w="90"/>
              <w:bottom w:type="dxa" w:w="60"/>
              <w:right w:type="dxa" w:w="90"/>
            </w:tcMar>
          </w:tcPr>
          <w:p>
            <w:pPr>
              <w:spacing w:after="20" w:line="250"/>
            </w:pPr>
            <w:r>
              <w:rPr>
                <w:b/>
                <w:bCs/>
                <w:color w:val="1A1A1A"/>
                <w:sz w:val="19"/>
                <w:szCs w:val="19"/>
              </w:rPr>
              <w:t xml:space="preserve">Impact</w:t>
            </w:r>
          </w:p>
        </w:tc>
        <w:tc>
          <w:tcPr>
            <w:tcW w:type="dxa" w:w="3360"/>
            <w:shd w:fill="E9EEF0" w:color="auto" w:val="clear"/>
            <w:tcMar>
              <w:top w:type="dxa" w:w="60"/>
              <w:left w:type="dxa" w:w="90"/>
              <w:bottom w:type="dxa" w:w="60"/>
              <w:right w:type="dxa" w:w="90"/>
            </w:tcMar>
          </w:tcPr>
          <w:p>
            <w:pPr>
              <w:spacing w:after="20" w:line="250"/>
            </w:pPr>
            <w:r>
              <w:rPr>
                <w:b/>
                <w:bCs/>
                <w:color w:val="1A1A1A"/>
                <w:sz w:val="19"/>
                <w:szCs w:val="19"/>
              </w:rPr>
              <w:t xml:space="preserve">Mitigation</w:t>
            </w:r>
          </w:p>
        </w:tc>
      </w:tr>
      <w:tr>
        <w:tc>
          <w:tcPr>
            <w:tcW w:type="dxa" w:w="3200"/>
            <w:tcMar>
              <w:top w:type="dxa" w:w="60"/>
              <w:left w:type="dxa" w:w="90"/>
              <w:bottom w:type="dxa" w:w="60"/>
              <w:right w:type="dxa" w:w="90"/>
            </w:tcMar>
          </w:tcPr>
          <w:p>
            <w:pPr>
              <w:spacing w:after="20" w:line="250"/>
            </w:pPr>
            <w:r>
              <w:rPr>
                <w:color w:val="1A1A1A"/>
                <w:sz w:val="19"/>
                <w:szCs w:val="19"/>
              </w:rPr>
              <w:t xml:space="preserve">False-susceptible (very-major) error on a key drug</w:t>
            </w:r>
          </w:p>
        </w:tc>
        <w:tc>
          <w:tcPr>
            <w:tcW w:type="dxa" w:w="1400"/>
            <w:tcMar>
              <w:top w:type="dxa" w:w="60"/>
              <w:left w:type="dxa" w:w="90"/>
              <w:bottom w:type="dxa" w:w="60"/>
              <w:right w:type="dxa" w:w="90"/>
            </w:tcMar>
          </w:tcPr>
          <w:p>
            <w:pPr>
              <w:spacing w:after="20" w:line="250"/>
            </w:pPr>
            <w:r>
              <w:rPr>
                <w:color w:val="1A1A1A"/>
                <w:sz w:val="19"/>
                <w:szCs w:val="19"/>
              </w:rPr>
              <w:t xml:space="preserve">Low</w:t>
            </w:r>
          </w:p>
        </w:tc>
        <w:tc>
          <w:tcPr>
            <w:tcW w:type="dxa" w:w="1400"/>
            <w:tcMar>
              <w:top w:type="dxa" w:w="60"/>
              <w:left w:type="dxa" w:w="90"/>
              <w:bottom w:type="dxa" w:w="60"/>
              <w:right w:type="dxa" w:w="90"/>
            </w:tcMar>
          </w:tcPr>
          <w:p>
            <w:pPr>
              <w:spacing w:after="20" w:line="250"/>
            </w:pPr>
            <w:r>
              <w:rPr>
                <w:color w:val="1A1A1A"/>
                <w:sz w:val="19"/>
                <w:szCs w:val="19"/>
              </w:rPr>
              <w:t xml:space="preserve">High</w:t>
            </w:r>
          </w:p>
        </w:tc>
        <w:tc>
          <w:tcPr>
            <w:tcW w:type="dxa" w:w="3360"/>
            <w:tcMar>
              <w:top w:type="dxa" w:w="60"/>
              <w:left w:type="dxa" w:w="90"/>
              <w:bottom w:type="dxa" w:w="60"/>
              <w:right w:type="dxa" w:w="90"/>
            </w:tcMar>
          </w:tcPr>
          <w:p>
            <w:pPr>
              <w:spacing w:after="20" w:line="250"/>
            </w:pPr>
            <w:r>
              <w:rPr>
                <w:color w:val="1A1A1A"/>
                <w:sz w:val="19"/>
                <w:szCs w:val="19"/>
              </w:rPr>
              <w:t xml:space="preserve">Conservative reconciliation; strict VME release gate; reflex testing on indeterminates</w:t>
            </w:r>
          </w:p>
        </w:tc>
      </w:tr>
      <w:tr>
        <w:tc>
          <w:tcPr>
            <w:tcW w:type="dxa" w:w="3200"/>
            <w:shd w:fill="F4F6F7" w:color="auto" w:val="clear"/>
            <w:tcMar>
              <w:top w:type="dxa" w:w="60"/>
              <w:left w:type="dxa" w:w="90"/>
              <w:bottom w:type="dxa" w:w="60"/>
              <w:right w:type="dxa" w:w="90"/>
            </w:tcMar>
          </w:tcPr>
          <w:p>
            <w:pPr>
              <w:spacing w:after="20" w:line="250"/>
            </w:pPr>
            <w:r>
              <w:rPr>
                <w:color w:val="1A1A1A"/>
                <w:sz w:val="19"/>
                <w:szCs w:val="19"/>
              </w:rPr>
              <w:t xml:space="preserve">Model drift after deployment</w:t>
            </w:r>
          </w:p>
        </w:tc>
        <w:tc>
          <w:tcPr>
            <w:tcW w:type="dxa" w:w="1400"/>
            <w:shd w:fill="F4F6F7" w:color="auto" w:val="clear"/>
            <w:tcMar>
              <w:top w:type="dxa" w:w="60"/>
              <w:left w:type="dxa" w:w="90"/>
              <w:bottom w:type="dxa" w:w="60"/>
              <w:right w:type="dxa" w:w="90"/>
            </w:tcMar>
          </w:tcPr>
          <w:p>
            <w:pPr>
              <w:spacing w:after="20" w:line="250"/>
            </w:pPr>
            <w:r>
              <w:rPr>
                <w:color w:val="1A1A1A"/>
                <w:sz w:val="19"/>
                <w:szCs w:val="19"/>
              </w:rPr>
              <w:t xml:space="preserve">Medium</w:t>
            </w:r>
          </w:p>
        </w:tc>
        <w:tc>
          <w:tcPr>
            <w:tcW w:type="dxa" w:w="1400"/>
            <w:shd w:fill="F4F6F7" w:color="auto" w:val="clear"/>
            <w:tcMar>
              <w:top w:type="dxa" w:w="60"/>
              <w:left w:type="dxa" w:w="90"/>
              <w:bottom w:type="dxa" w:w="60"/>
              <w:right w:type="dxa" w:w="90"/>
            </w:tcMar>
          </w:tcPr>
          <w:p>
            <w:pPr>
              <w:spacing w:after="20" w:line="250"/>
            </w:pPr>
            <w:r>
              <w:rPr>
                <w:color w:val="1A1A1A"/>
                <w:sz w:val="19"/>
                <w:szCs w:val="19"/>
              </w:rPr>
              <w:t xml:space="preserve">High</w:t>
            </w:r>
          </w:p>
        </w:tc>
        <w:tc>
          <w:tcPr>
            <w:tcW w:type="dxa" w:w="3360"/>
            <w:shd w:fill="F4F6F7" w:color="auto" w:val="clear"/>
            <w:tcMar>
              <w:top w:type="dxa" w:w="60"/>
              <w:left w:type="dxa" w:w="90"/>
              <w:bottom w:type="dxa" w:w="60"/>
              <w:right w:type="dxa" w:w="90"/>
            </w:tcMar>
          </w:tcPr>
          <w:p>
            <w:pPr>
              <w:spacing w:after="20" w:line="250"/>
            </w:pPr>
            <w:r>
              <w:rPr>
                <w:color w:val="1A1A1A"/>
                <w:sz w:val="19"/>
                <w:szCs w:val="19"/>
              </w:rPr>
              <w:t xml:space="preserve">Continuous drift monitor with revalidation trigger</w:t>
            </w:r>
          </w:p>
        </w:tc>
      </w:tr>
      <w:tr>
        <w:tc>
          <w:tcPr>
            <w:tcW w:type="dxa" w:w="3200"/>
            <w:tcMar>
              <w:top w:type="dxa" w:w="60"/>
              <w:left w:type="dxa" w:w="90"/>
              <w:bottom w:type="dxa" w:w="60"/>
              <w:right w:type="dxa" w:w="90"/>
            </w:tcMar>
          </w:tcPr>
          <w:p>
            <w:pPr>
              <w:spacing w:after="20" w:line="250"/>
            </w:pPr>
            <w:r>
              <w:rPr>
                <w:color w:val="1A1A1A"/>
                <w:sz w:val="19"/>
                <w:szCs w:val="19"/>
              </w:rPr>
              <w:t xml:space="preserve">Inequitable performance across lineages</w:t>
            </w:r>
          </w:p>
        </w:tc>
        <w:tc>
          <w:tcPr>
            <w:tcW w:type="dxa" w:w="1400"/>
            <w:tcMar>
              <w:top w:type="dxa" w:w="60"/>
              <w:left w:type="dxa" w:w="90"/>
              <w:bottom w:type="dxa" w:w="60"/>
              <w:right w:type="dxa" w:w="90"/>
            </w:tcMar>
          </w:tcPr>
          <w:p>
            <w:pPr>
              <w:spacing w:after="20" w:line="250"/>
            </w:pPr>
            <w:r>
              <w:rPr>
                <w:color w:val="1A1A1A"/>
                <w:sz w:val="19"/>
                <w:szCs w:val="19"/>
              </w:rPr>
              <w:t xml:space="preserve">Medium</w:t>
            </w:r>
          </w:p>
        </w:tc>
        <w:tc>
          <w:tcPr>
            <w:tcW w:type="dxa" w:w="1400"/>
            <w:tcMar>
              <w:top w:type="dxa" w:w="60"/>
              <w:left w:type="dxa" w:w="90"/>
              <w:bottom w:type="dxa" w:w="60"/>
              <w:right w:type="dxa" w:w="90"/>
            </w:tcMar>
          </w:tcPr>
          <w:p>
            <w:pPr>
              <w:spacing w:after="20" w:line="250"/>
            </w:pPr>
            <w:r>
              <w:rPr>
                <w:color w:val="1A1A1A"/>
                <w:sz w:val="19"/>
                <w:szCs w:val="19"/>
              </w:rPr>
              <w:t xml:space="preserve">Medium</w:t>
            </w:r>
          </w:p>
        </w:tc>
        <w:tc>
          <w:tcPr>
            <w:tcW w:type="dxa" w:w="3360"/>
            <w:tcMar>
              <w:top w:type="dxa" w:w="60"/>
              <w:left w:type="dxa" w:w="90"/>
              <w:bottom w:type="dxa" w:w="60"/>
              <w:right w:type="dxa" w:w="90"/>
            </w:tcMar>
          </w:tcPr>
          <w:p>
            <w:pPr>
              <w:spacing w:after="20" w:line="250"/>
            </w:pPr>
            <w:r>
              <w:rPr>
                <w:color w:val="1A1A1A"/>
                <w:sz w:val="19"/>
                <w:szCs w:val="19"/>
              </w:rPr>
              <w:t xml:space="preserve">Federated, stratified evaluation; targeted retraining</w:t>
            </w:r>
          </w:p>
        </w:tc>
      </w:tr>
      <w:tr>
        <w:tc>
          <w:tcPr>
            <w:tcW w:type="dxa" w:w="3200"/>
            <w:shd w:fill="F4F6F7" w:color="auto" w:val="clear"/>
            <w:tcMar>
              <w:top w:type="dxa" w:w="60"/>
              <w:left w:type="dxa" w:w="90"/>
              <w:bottom w:type="dxa" w:w="60"/>
              <w:right w:type="dxa" w:w="90"/>
            </w:tcMar>
          </w:tcPr>
          <w:p>
            <w:pPr>
              <w:spacing w:after="20" w:line="250"/>
            </w:pPr>
            <w:r>
              <w:rPr>
                <w:color w:val="1A1A1A"/>
                <w:sz w:val="19"/>
                <w:szCs w:val="19"/>
              </w:rPr>
              <w:t xml:space="preserve">Over-reliance / automation bias</w:t>
            </w:r>
          </w:p>
        </w:tc>
        <w:tc>
          <w:tcPr>
            <w:tcW w:type="dxa" w:w="1400"/>
            <w:shd w:fill="F4F6F7" w:color="auto" w:val="clear"/>
            <w:tcMar>
              <w:top w:type="dxa" w:w="60"/>
              <w:left w:type="dxa" w:w="90"/>
              <w:bottom w:type="dxa" w:w="60"/>
              <w:right w:type="dxa" w:w="90"/>
            </w:tcMar>
          </w:tcPr>
          <w:p>
            <w:pPr>
              <w:spacing w:after="20" w:line="250"/>
            </w:pPr>
            <w:r>
              <w:rPr>
                <w:color w:val="1A1A1A"/>
                <w:sz w:val="19"/>
                <w:szCs w:val="19"/>
              </w:rPr>
              <w:t xml:space="preserve">Medium</w:t>
            </w:r>
          </w:p>
        </w:tc>
        <w:tc>
          <w:tcPr>
            <w:tcW w:type="dxa" w:w="1400"/>
            <w:shd w:fill="F4F6F7" w:color="auto" w:val="clear"/>
            <w:tcMar>
              <w:top w:type="dxa" w:w="60"/>
              <w:left w:type="dxa" w:w="90"/>
              <w:bottom w:type="dxa" w:w="60"/>
              <w:right w:type="dxa" w:w="90"/>
            </w:tcMar>
          </w:tcPr>
          <w:p>
            <w:pPr>
              <w:spacing w:after="20" w:line="250"/>
            </w:pPr>
            <w:r>
              <w:rPr>
                <w:color w:val="1A1A1A"/>
                <w:sz w:val="19"/>
                <w:szCs w:val="19"/>
              </w:rPr>
              <w:t xml:space="preserve">High</w:t>
            </w:r>
          </w:p>
        </w:tc>
        <w:tc>
          <w:tcPr>
            <w:tcW w:type="dxa" w:w="3360"/>
            <w:shd w:fill="F4F6F7" w:color="auto" w:val="clear"/>
            <w:tcMar>
              <w:top w:type="dxa" w:w="60"/>
              <w:left w:type="dxa" w:w="90"/>
              <w:bottom w:type="dxa" w:w="60"/>
              <w:right w:type="dxa" w:w="90"/>
            </w:tcMar>
          </w:tcPr>
          <w:p>
            <w:pPr>
              <w:spacing w:after="20" w:line="250"/>
            </w:pPr>
            <w:r>
              <w:rPr>
                <w:color w:val="1A1A1A"/>
                <w:sz w:val="19"/>
                <w:szCs w:val="19"/>
              </w:rPr>
              <w:t xml:space="preserve">Human-in-the-loop; predicted-call marking; abstention</w:t>
            </w:r>
          </w:p>
        </w:tc>
      </w:tr>
      <w:tr>
        <w:tc>
          <w:tcPr>
            <w:tcW w:type="dxa" w:w="3200"/>
            <w:tcMar>
              <w:top w:type="dxa" w:w="60"/>
              <w:left w:type="dxa" w:w="90"/>
              <w:bottom w:type="dxa" w:w="60"/>
              <w:right w:type="dxa" w:w="90"/>
            </w:tcMar>
          </w:tcPr>
          <w:p>
            <w:pPr>
              <w:spacing w:after="20" w:line="250"/>
            </w:pPr>
            <w:r>
              <w:rPr>
                <w:color w:val="1A1A1A"/>
                <w:sz w:val="19"/>
                <w:szCs w:val="19"/>
              </w:rPr>
              <w:t xml:space="preserve">Misuse of discovery outputs</w:t>
            </w:r>
          </w:p>
        </w:tc>
        <w:tc>
          <w:tcPr>
            <w:tcW w:type="dxa" w:w="1400"/>
            <w:tcMar>
              <w:top w:type="dxa" w:w="60"/>
              <w:left w:type="dxa" w:w="90"/>
              <w:bottom w:type="dxa" w:w="60"/>
              <w:right w:type="dxa" w:w="90"/>
            </w:tcMar>
          </w:tcPr>
          <w:p>
            <w:pPr>
              <w:spacing w:after="20" w:line="250"/>
            </w:pPr>
            <w:r>
              <w:rPr>
                <w:color w:val="1A1A1A"/>
                <w:sz w:val="19"/>
                <w:szCs w:val="19"/>
              </w:rPr>
              <w:t xml:space="preserve">Low</w:t>
            </w:r>
          </w:p>
        </w:tc>
        <w:tc>
          <w:tcPr>
            <w:tcW w:type="dxa" w:w="1400"/>
            <w:tcMar>
              <w:top w:type="dxa" w:w="60"/>
              <w:left w:type="dxa" w:w="90"/>
              <w:bottom w:type="dxa" w:w="60"/>
              <w:right w:type="dxa" w:w="90"/>
            </w:tcMar>
          </w:tcPr>
          <w:p>
            <w:pPr>
              <w:spacing w:after="20" w:line="250"/>
            </w:pPr>
            <w:r>
              <w:rPr>
                <w:color w:val="1A1A1A"/>
                <w:sz w:val="19"/>
                <w:szCs w:val="19"/>
              </w:rPr>
              <w:t xml:space="preserve">High</w:t>
            </w:r>
          </w:p>
        </w:tc>
        <w:tc>
          <w:tcPr>
            <w:tcW w:type="dxa" w:w="3360"/>
            <w:tcMar>
              <w:top w:type="dxa" w:w="60"/>
              <w:left w:type="dxa" w:w="90"/>
              <w:bottom w:type="dxa" w:w="60"/>
              <w:right w:type="dxa" w:w="90"/>
            </w:tcMar>
          </w:tcPr>
          <w:p>
            <w:pPr>
              <w:spacing w:after="20" w:line="250"/>
            </w:pPr>
            <w:r>
              <w:rPr>
                <w:color w:val="1A1A1A"/>
                <w:sz w:val="19"/>
                <w:szCs w:val="19"/>
              </w:rPr>
              <w:t xml:space="preserve">Host-selective target scope; hypothesis-only labelling; access governance</w:t>
            </w:r>
          </w:p>
        </w:tc>
      </w:tr>
    </w:tbl>
    <w:p>
      <w:pPr>
        <w:pStyle w:val="Heading1"/>
        <w:spacing w:after="140" w:before="320"/>
      </w:pPr>
      <w:r>
        <w:rPr>
          <w:b/>
          <w:bCs/>
          <w:color w:val="2E5A6B"/>
          <w:sz w:val="30"/>
          <w:szCs w:val="30"/>
        </w:rPr>
        <w:t xml:space="preserve">15. Evaluation of implementation</w:t>
      </w:r>
    </w:p>
    <w:p>
      <w:pPr>
        <w:spacing w:after="120" w:before="0" w:line="276"/>
      </w:pPr>
      <w:r>
        <w:rPr>
          <w:color w:val="1A1A1A"/>
          <w:sz w:val="21"/>
          <w:szCs w:val="21"/>
        </w:rPr>
        <w:t xml:space="preserve">Implementation is evaluated with its own indicators, distinct from clinical accuracy: acceptability (user surveys and override rates), appropriateness and feasibility (site readiness assessments), fidelity (version currency and adherence to reflex-testing rules), penetration (share of eligible workload processed), and sustainability (sustained use and maintained performance). A staged pilot — silent evaluation, then supervised clinical use at a small number of sites, then network expansion — provides the setting for these measures.</w:t>
      </w:r>
    </w:p>
    <w:p>
      <w:r>
        <w:br w:type="page"/>
      </w:r>
    </w:p>
    <w:p>
      <w:pPr>
        <w:spacing w:after="60" w:before="200"/>
      </w:pPr>
      <w:r>
        <w:rPr>
          <w:b/>
          <w:bCs/>
          <w:color w:val="6E4B8A"/>
          <w:sz w:val="24"/>
          <w:szCs w:val="24"/>
        </w:rPr>
        <w:t xml:space="preserve">PART C</w:t>
      </w:r>
    </w:p>
    <w:p>
      <w:pPr>
        <w:pBdr>
          <w:bottom w:val="single" w:color="2E5A6B" w:sz="12"/>
        </w:pBdr>
        <w:spacing w:after="120"/>
      </w:pPr>
      <w:r>
        <w:rPr>
          <w:b/>
          <w:bCs/>
          <w:color w:val="2E5A6B"/>
          <w:sz w:val="34"/>
          <w:szCs w:val="34"/>
        </w:rPr>
        <w:t xml:space="preserve">Product functional specification</w:t>
      </w:r>
    </w:p>
    <w:p>
      <w:pPr>
        <w:pStyle w:val="Heading1"/>
        <w:spacing w:after="140" w:before="320"/>
      </w:pPr>
      <w:r>
        <w:rPr>
          <w:b/>
          <w:bCs/>
          <w:color w:val="2E5A6B"/>
          <w:sz w:val="30"/>
          <w:szCs w:val="30"/>
        </w:rPr>
        <w:t xml:space="preserve">16. Product overview and goals</w:t>
      </w:r>
    </w:p>
    <w:p>
      <w:pPr>
        <w:spacing w:after="120" w:before="0" w:line="276"/>
      </w:pPr>
      <w:r>
        <w:rPr>
          <w:color w:val="1A1A1A"/>
          <w:sz w:val="21"/>
          <w:szCs w:val="21"/>
        </w:rPr>
        <w:t xml:space="preserve">Myconductor is a modular, dependency-light software layer delivered as an installable package with a command-line interface and a programmatic API. Its goals are: (1) unify existing AMR tools under one adaptive workflow; (2) close the interpretive gaps those tools leave; (3) run anywhere, including offline; (4) keep every output explainable and auditable; and (5) generalise across organisms through pluggable profiles.</w:t>
      </w:r>
    </w:p>
    <w:p>
      <w:pPr>
        <w:pStyle w:val="Heading1"/>
        <w:spacing w:after="140" w:before="320"/>
      </w:pPr>
      <w:r>
        <w:rPr>
          <w:b/>
          <w:bCs/>
          <w:color w:val="2E5A6B"/>
          <w:sz w:val="30"/>
          <w:szCs w:val="30"/>
        </w:rPr>
        <w:t xml:space="preserve">17. System architecture</w:t>
      </w:r>
    </w:p>
    <w:p>
      <w:pPr>
        <w:spacing w:after="120" w:before="0" w:line="276"/>
      </w:pPr>
      <w:r>
        <w:rPr>
          <w:color w:val="1A1A1A"/>
          <w:sz w:val="21"/>
          <w:szCs w:val="21"/>
        </w:rPr>
        <w:t xml:space="preserve">The system is a linear spine with a branching interpretation stage and a feedback loop:</w:t>
      </w:r>
    </w:p>
    <w:p>
      <w:pPr>
        <w:spacing w:after="120" w:before="0" w:line="276"/>
      </w:pPr>
      <w:r>
        <w:rPr>
          <w:rFonts w:ascii="Consolas" w:cs="Consolas" w:eastAsia="Consolas" w:hAnsi="Consolas"/>
          <w:color w:val="3A3A3A"/>
          <w:sz w:val="19"/>
          <w:szCs w:val="19"/>
        </w:rPr>
        <w:t xml:space="preserve">adapter  →  known-variant  →  triage router  →  { VUS-ML | efflux/regulatory | acquired-gene }  →  heteroresistance  →  synthesis  →  decision  →  { report | discovery loop }  →  federated catalogue ↻</w:t>
      </w:r>
    </w:p>
    <w:p>
      <w:pPr>
        <w:pStyle w:val="Heading2"/>
        <w:spacing w:after="100" w:before="240"/>
      </w:pPr>
      <w:r>
        <w:rPr>
          <w:b/>
          <w:bCs/>
          <w:color w:val="6E4B8A"/>
          <w:sz w:val="25"/>
          <w:szCs w:val="25"/>
        </w:rPr>
        <w:t xml:space="preserve">17.1 Component responsibilities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700"/>
        <w:gridCol w:w="6660"/>
      </w:tblGrid>
      <w:tr>
        <w:trPr>
          <w:tblHeader/>
        </w:trPr>
        <w:tc>
          <w:tcPr>
            <w:tcW w:type="dxa" w:w="2700"/>
            <w:shd w:fill="E9EEF0" w:color="auto" w:val="clear"/>
            <w:tcMar>
              <w:top w:type="dxa" w:w="60"/>
              <w:left w:type="dxa" w:w="90"/>
              <w:bottom w:type="dxa" w:w="60"/>
              <w:right w:type="dxa" w:w="90"/>
            </w:tcMar>
          </w:tcPr>
          <w:p>
            <w:pPr>
              <w:spacing w:after="20" w:line="250"/>
            </w:pPr>
            <w:r>
              <w:rPr>
                <w:b/>
                <w:bCs/>
                <w:color w:val="1A1A1A"/>
                <w:sz w:val="19"/>
                <w:szCs w:val="19"/>
              </w:rPr>
              <w:t xml:space="preserve">Component</w:t>
            </w:r>
          </w:p>
        </w:tc>
        <w:tc>
          <w:tcPr>
            <w:tcW w:type="dxa" w:w="6660"/>
            <w:shd w:fill="E9EEF0" w:color="auto" w:val="clear"/>
            <w:tcMar>
              <w:top w:type="dxa" w:w="60"/>
              <w:left w:type="dxa" w:w="90"/>
              <w:bottom w:type="dxa" w:w="60"/>
              <w:right w:type="dxa" w:w="90"/>
            </w:tcMar>
          </w:tcPr>
          <w:p>
            <w:pPr>
              <w:spacing w:after="20" w:line="250"/>
            </w:pPr>
            <w:r>
              <w:rPr>
                <w:b/>
                <w:bCs/>
                <w:color w:val="1A1A1A"/>
                <w:sz w:val="19"/>
                <w:szCs w:val="19"/>
              </w:rPr>
              <w:t xml:space="preserve">Responsibility</w:t>
            </w:r>
          </w:p>
        </w:tc>
      </w:tr>
      <w:tr>
        <w:tc>
          <w:tcPr>
            <w:tcW w:type="dxa" w:w="2700"/>
            <w:tcMar>
              <w:top w:type="dxa" w:w="60"/>
              <w:left w:type="dxa" w:w="90"/>
              <w:bottom w:type="dxa" w:w="60"/>
              <w:right w:type="dxa" w:w="90"/>
            </w:tcMar>
          </w:tcPr>
          <w:p>
            <w:pPr>
              <w:spacing w:after="20" w:line="250"/>
            </w:pPr>
            <w:r>
              <w:rPr>
                <w:color w:val="1A1A1A"/>
                <w:sz w:val="19"/>
                <w:szCs w:val="19"/>
              </w:rPr>
              <w:t xml:space="preserve">Adapter (I/O)</w:t>
            </w:r>
          </w:p>
        </w:tc>
        <w:tc>
          <w:tcPr>
            <w:tcW w:type="dxa" w:w="6660"/>
            <w:tcMar>
              <w:top w:type="dxa" w:w="60"/>
              <w:left w:type="dxa" w:w="90"/>
              <w:bottom w:type="dxa" w:w="60"/>
              <w:right w:type="dxa" w:w="90"/>
            </w:tcMar>
          </w:tcPr>
          <w:p>
            <w:pPr>
              <w:spacing w:after="20" w:line="250"/>
            </w:pPr>
            <w:r>
              <w:rPr>
                <w:color w:val="1A1A1A"/>
                <w:sz w:val="19"/>
                <w:szCs w:val="19"/>
              </w:rPr>
              <w:t xml:space="preserve">Normalise VCF/TSV/JSON to canonical variants; coverage-gated QC</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Known-variant lane</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Catalogue lookup with evidence grades (wraps/absorbs incumbent profilers)</w:t>
            </w:r>
          </w:p>
        </w:tc>
      </w:tr>
      <w:tr>
        <w:tc>
          <w:tcPr>
            <w:tcW w:type="dxa" w:w="2700"/>
            <w:tcMar>
              <w:top w:type="dxa" w:w="60"/>
              <w:left w:type="dxa" w:w="90"/>
              <w:bottom w:type="dxa" w:w="60"/>
              <w:right w:type="dxa" w:w="90"/>
            </w:tcMar>
          </w:tcPr>
          <w:p>
            <w:pPr>
              <w:spacing w:after="20" w:line="250"/>
            </w:pPr>
            <w:r>
              <w:rPr>
                <w:color w:val="1A1A1A"/>
                <w:sz w:val="19"/>
                <w:szCs w:val="19"/>
              </w:rPr>
              <w:t xml:space="preserve">Triage router</w:t>
            </w:r>
          </w:p>
        </w:tc>
        <w:tc>
          <w:tcPr>
            <w:tcW w:type="dxa" w:w="6660"/>
            <w:tcMar>
              <w:top w:type="dxa" w:w="60"/>
              <w:left w:type="dxa" w:w="90"/>
              <w:bottom w:type="dxa" w:w="60"/>
              <w:right w:type="dxa" w:w="90"/>
            </w:tcMar>
          </w:tcPr>
          <w:p>
            <w:pPr>
              <w:spacing w:after="20" w:line="250"/>
            </w:pPr>
            <w:r>
              <w:rPr>
                <w:color w:val="1A1A1A"/>
                <w:sz w:val="19"/>
                <w:szCs w:val="19"/>
              </w:rPr>
              <w:t xml:space="preserve">Deterministic dispatch of each variant to one lane (the orchestration core)</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VUS classifier</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Predict resistance for unknown coding variants with explanations and abstention</w:t>
            </w:r>
          </w:p>
        </w:tc>
      </w:tr>
      <w:tr>
        <w:tc>
          <w:tcPr>
            <w:tcW w:type="dxa" w:w="2700"/>
            <w:tcMar>
              <w:top w:type="dxa" w:w="60"/>
              <w:left w:type="dxa" w:w="90"/>
              <w:bottom w:type="dxa" w:w="60"/>
              <w:right w:type="dxa" w:w="90"/>
            </w:tcMar>
          </w:tcPr>
          <w:p>
            <w:pPr>
              <w:spacing w:after="20" w:line="250"/>
            </w:pPr>
            <w:r>
              <w:rPr>
                <w:color w:val="1A1A1A"/>
                <w:sz w:val="19"/>
                <w:szCs w:val="19"/>
              </w:rPr>
              <w:t xml:space="preserve">Efflux/regulatory lane</w:t>
            </w:r>
          </w:p>
        </w:tc>
        <w:tc>
          <w:tcPr>
            <w:tcW w:type="dxa" w:w="6660"/>
            <w:tcMar>
              <w:top w:type="dxa" w:w="60"/>
              <w:left w:type="dxa" w:w="90"/>
              <w:bottom w:type="dxa" w:w="60"/>
              <w:right w:type="dxa" w:w="90"/>
            </w:tcMar>
          </w:tcPr>
          <w:p>
            <w:pPr>
              <w:spacing w:after="20" w:line="250"/>
            </w:pPr>
            <w:r>
              <w:rPr>
                <w:color w:val="1A1A1A"/>
                <w:sz w:val="19"/>
                <w:szCs w:val="19"/>
              </w:rPr>
              <w:t xml:space="preserve">Infer efflux de-repression and promoter/intergenic effects</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Acquired-gene lane</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Detect imported determinants and mobile context (extension profiles)</w:t>
            </w:r>
          </w:p>
        </w:tc>
      </w:tr>
      <w:tr>
        <w:tc>
          <w:tcPr>
            <w:tcW w:type="dxa" w:w="2700"/>
            <w:tcMar>
              <w:top w:type="dxa" w:w="60"/>
              <w:left w:type="dxa" w:w="90"/>
              <w:bottom w:type="dxa" w:w="60"/>
              <w:right w:type="dxa" w:w="90"/>
            </w:tcMar>
          </w:tcPr>
          <w:p>
            <w:pPr>
              <w:spacing w:after="20" w:line="250"/>
            </w:pPr>
            <w:r>
              <w:rPr>
                <w:color w:val="1A1A1A"/>
                <w:sz w:val="19"/>
                <w:szCs w:val="19"/>
              </w:rPr>
              <w:t xml:space="preserve">Heteroresistance</w:t>
            </w:r>
          </w:p>
        </w:tc>
        <w:tc>
          <w:tcPr>
            <w:tcW w:type="dxa" w:w="6660"/>
            <w:tcMar>
              <w:top w:type="dxa" w:w="60"/>
              <w:left w:type="dxa" w:w="90"/>
              <w:bottom w:type="dxa" w:w="60"/>
              <w:right w:type="dxa" w:w="90"/>
            </w:tcMar>
          </w:tcPr>
          <w:p>
            <w:pPr>
              <w:spacing w:after="20" w:line="250"/>
            </w:pPr>
            <w:r>
              <w:rPr>
                <w:color w:val="1A1A1A"/>
                <w:sz w:val="19"/>
                <w:szCs w:val="19"/>
              </w:rPr>
              <w:t xml:space="preserve">Flag minority resistant subpopulations from VAF</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Synthesis</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Reconcile evidence; propose a guideline-aligned regimen</w:t>
            </w:r>
          </w:p>
        </w:tc>
      </w:tr>
      <w:tr>
        <w:tc>
          <w:tcPr>
            <w:tcW w:type="dxa" w:w="2700"/>
            <w:tcMar>
              <w:top w:type="dxa" w:w="60"/>
              <w:left w:type="dxa" w:w="90"/>
              <w:bottom w:type="dxa" w:w="60"/>
              <w:right w:type="dxa" w:w="90"/>
            </w:tcMar>
          </w:tcPr>
          <w:p>
            <w:pPr>
              <w:spacing w:after="20" w:line="250"/>
            </w:pPr>
            <w:r>
              <w:rPr>
                <w:color w:val="1A1A1A"/>
                <w:sz w:val="19"/>
                <w:szCs w:val="19"/>
              </w:rPr>
              <w:t xml:space="preserve">Discovery loop</w:t>
            </w:r>
          </w:p>
        </w:tc>
        <w:tc>
          <w:tcPr>
            <w:tcW w:type="dxa" w:w="6660"/>
            <w:tcMar>
              <w:top w:type="dxa" w:w="60"/>
              <w:left w:type="dxa" w:w="90"/>
              <w:bottom w:type="dxa" w:w="60"/>
              <w:right w:type="dxa" w:w="90"/>
            </w:tcMar>
          </w:tcPr>
          <w:p>
            <w:pPr>
              <w:spacing w:after="20" w:line="250"/>
            </w:pPr>
            <w:r>
              <w:rPr>
                <w:color w:val="1A1A1A"/>
                <w:sz w:val="19"/>
                <w:szCs w:val="19"/>
              </w:rPr>
              <w:t xml:space="preserve">Subtractive genomics + docking when no regimen is adequate</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Reporting</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Human-readable report and FHIR diagnostic bundle</w:t>
            </w:r>
          </w:p>
        </w:tc>
      </w:tr>
      <w:tr>
        <w:tc>
          <w:tcPr>
            <w:tcW w:type="dxa" w:w="2700"/>
            <w:tcMar>
              <w:top w:type="dxa" w:w="60"/>
              <w:left w:type="dxa" w:w="90"/>
              <w:bottom w:type="dxa" w:w="60"/>
              <w:right w:type="dxa" w:w="90"/>
            </w:tcMar>
          </w:tcPr>
          <w:p>
            <w:pPr>
              <w:spacing w:after="20" w:line="250"/>
            </w:pPr>
            <w:r>
              <w:rPr>
                <w:color w:val="1A1A1A"/>
                <w:sz w:val="19"/>
                <w:szCs w:val="19"/>
              </w:rPr>
              <w:t xml:space="preserve">Federated module</w:t>
            </w:r>
          </w:p>
        </w:tc>
        <w:tc>
          <w:tcPr>
            <w:tcW w:type="dxa" w:w="6660"/>
            <w:tcMar>
              <w:top w:type="dxa" w:w="60"/>
              <w:left w:type="dxa" w:w="90"/>
              <w:bottom w:type="dxa" w:w="60"/>
              <w:right w:type="dxa" w:w="90"/>
            </w:tcMar>
          </w:tcPr>
          <w:p>
            <w:pPr>
              <w:spacing w:after="20" w:line="250"/>
            </w:pPr>
            <w:r>
              <w:rPr>
                <w:color w:val="1A1A1A"/>
                <w:sz w:val="19"/>
                <w:szCs w:val="19"/>
              </w:rPr>
              <w:t xml:space="preserve">Aggregate-only learning, catalogue promotion, drift monitoring</w:t>
            </w:r>
          </w:p>
        </w:tc>
      </w:tr>
      <w:tr>
        <w:tc>
          <w:tcPr>
            <w:tcW w:type="dxa" w:w="2700"/>
            <w:shd w:fill="F4F6F7" w:color="auto" w:val="clear"/>
            <w:tcMar>
              <w:top w:type="dxa" w:w="60"/>
              <w:left w:type="dxa" w:w="90"/>
              <w:bottom w:type="dxa" w:w="60"/>
              <w:right w:type="dxa" w:w="90"/>
            </w:tcMar>
          </w:tcPr>
          <w:p>
            <w:pPr>
              <w:spacing w:after="20" w:line="250"/>
            </w:pPr>
            <w:r>
              <w:rPr>
                <w:color w:val="1A1A1A"/>
                <w:sz w:val="19"/>
                <w:szCs w:val="19"/>
              </w:rPr>
              <w:t xml:space="preserve">Profile</w:t>
            </w:r>
          </w:p>
        </w:tc>
        <w:tc>
          <w:tcPr>
            <w:tcW w:type="dxa" w:w="6660"/>
            <w:shd w:fill="F4F6F7" w:color="auto" w:val="clear"/>
            <w:tcMar>
              <w:top w:type="dxa" w:w="60"/>
              <w:left w:type="dxa" w:w="90"/>
              <w:bottom w:type="dxa" w:w="60"/>
              <w:right w:type="dxa" w:w="90"/>
            </w:tcMar>
          </w:tcPr>
          <w:p>
            <w:pPr>
              <w:spacing w:after="20" w:line="250"/>
            </w:pPr>
            <w:r>
              <w:rPr>
                <w:color w:val="1A1A1A"/>
                <w:sz w:val="19"/>
                <w:szCs w:val="19"/>
              </w:rPr>
              <w:t xml:space="preserve">Supplies catalogue, drugs/regimens, gene-to-drug map, enabled lanes</w:t>
            </w:r>
          </w:p>
        </w:tc>
      </w:tr>
    </w:tbl>
    <w:p>
      <w:pPr>
        <w:pStyle w:val="Heading1"/>
        <w:spacing w:after="140" w:before="320"/>
      </w:pPr>
      <w:r>
        <w:rPr>
          <w:b/>
          <w:bCs/>
          <w:color w:val="2E5A6B"/>
          <w:sz w:val="30"/>
          <w:szCs w:val="30"/>
        </w:rPr>
        <w:t xml:space="preserve">18. Data model</w:t>
      </w:r>
    </w:p>
    <w:p>
      <w:pPr>
        <w:spacing w:after="120" w:before="0" w:line="276"/>
      </w:pPr>
      <w:r>
        <w:rPr>
          <w:color w:val="1A1A1A"/>
          <w:sz w:val="21"/>
          <w:szCs w:val="21"/>
        </w:rPr>
        <w:t xml:space="preserve">The canonical types are the contract every module speaks. A new lane need only accept a variant and return drug evidence.</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300"/>
        <w:gridCol w:w="4260"/>
        <w:gridCol w:w="2800"/>
      </w:tblGrid>
      <w:tr>
        <w:trPr>
          <w:tblHeader/>
        </w:trPr>
        <w:tc>
          <w:tcPr>
            <w:tcW w:type="dxa" w:w="2300"/>
            <w:shd w:fill="E9EEF0" w:color="auto" w:val="clear"/>
            <w:tcMar>
              <w:top w:type="dxa" w:w="60"/>
              <w:left w:type="dxa" w:w="90"/>
              <w:bottom w:type="dxa" w:w="60"/>
              <w:right w:type="dxa" w:w="90"/>
            </w:tcMar>
          </w:tcPr>
          <w:p>
            <w:pPr>
              <w:spacing w:after="20" w:line="250"/>
            </w:pPr>
            <w:r>
              <w:rPr>
                <w:b/>
                <w:bCs/>
                <w:color w:val="1A1A1A"/>
                <w:sz w:val="19"/>
                <w:szCs w:val="19"/>
              </w:rPr>
              <w:t xml:space="preserve">Type</w:t>
            </w:r>
          </w:p>
        </w:tc>
        <w:tc>
          <w:tcPr>
            <w:tcW w:type="dxa" w:w="4260"/>
            <w:shd w:fill="E9EEF0" w:color="auto" w:val="clear"/>
            <w:tcMar>
              <w:top w:type="dxa" w:w="60"/>
              <w:left w:type="dxa" w:w="90"/>
              <w:bottom w:type="dxa" w:w="60"/>
              <w:right w:type="dxa" w:w="90"/>
            </w:tcMar>
          </w:tcPr>
          <w:p>
            <w:pPr>
              <w:spacing w:after="20" w:line="250"/>
            </w:pPr>
            <w:r>
              <w:rPr>
                <w:b/>
                <w:bCs/>
                <w:color w:val="1A1A1A"/>
                <w:sz w:val="19"/>
                <w:szCs w:val="19"/>
              </w:rPr>
              <w:t xml:space="preserve">Key fields</w:t>
            </w:r>
          </w:p>
        </w:tc>
        <w:tc>
          <w:tcPr>
            <w:tcW w:type="dxa" w:w="2800"/>
            <w:shd w:fill="E9EEF0" w:color="auto" w:val="clear"/>
            <w:tcMar>
              <w:top w:type="dxa" w:w="60"/>
              <w:left w:type="dxa" w:w="90"/>
              <w:bottom w:type="dxa" w:w="60"/>
              <w:right w:type="dxa" w:w="90"/>
            </w:tcMar>
          </w:tcPr>
          <w:p>
            <w:pPr>
              <w:spacing w:after="20" w:line="250"/>
            </w:pPr>
            <w:r>
              <w:rPr>
                <w:b/>
                <w:bCs/>
                <w:color w:val="1A1A1A"/>
                <w:sz w:val="19"/>
                <w:szCs w:val="19"/>
              </w:rPr>
              <w:t xml:space="preserve">Purpose</w:t>
            </w:r>
          </w:p>
        </w:tc>
      </w:tr>
      <w:tr>
        <w:tc>
          <w:tcPr>
            <w:tcW w:type="dxa" w:w="2300"/>
            <w:tcMar>
              <w:top w:type="dxa" w:w="60"/>
              <w:left w:type="dxa" w:w="90"/>
              <w:bottom w:type="dxa" w:w="60"/>
              <w:right w:type="dxa" w:w="90"/>
            </w:tcMar>
          </w:tcPr>
          <w:p>
            <w:pPr>
              <w:spacing w:after="20" w:line="250"/>
            </w:pPr>
            <w:r>
              <w:rPr>
                <w:color w:val="1A1A1A"/>
                <w:sz w:val="19"/>
                <w:szCs w:val="19"/>
              </w:rPr>
              <w:t xml:space="preserve">Variant</w:t>
            </w:r>
          </w:p>
        </w:tc>
        <w:tc>
          <w:tcPr>
            <w:tcW w:type="dxa" w:w="4260"/>
            <w:tcMar>
              <w:top w:type="dxa" w:w="60"/>
              <w:left w:type="dxa" w:w="90"/>
              <w:bottom w:type="dxa" w:w="60"/>
              <w:right w:type="dxa" w:w="90"/>
            </w:tcMar>
          </w:tcPr>
          <w:p>
            <w:pPr>
              <w:spacing w:after="20" w:line="250"/>
            </w:pPr>
            <w:r>
              <w:rPr>
                <w:color w:val="1A1A1A"/>
                <w:sz w:val="19"/>
                <w:szCs w:val="19"/>
              </w:rPr>
              <w:t xml:space="preserve">gene, change, pos, ref/alt, vaf, depth, region, silent</w:t>
            </w:r>
          </w:p>
        </w:tc>
        <w:tc>
          <w:tcPr>
            <w:tcW w:type="dxa" w:w="2800"/>
            <w:tcMar>
              <w:top w:type="dxa" w:w="60"/>
              <w:left w:type="dxa" w:w="90"/>
              <w:bottom w:type="dxa" w:w="60"/>
              <w:right w:type="dxa" w:w="90"/>
            </w:tcMar>
          </w:tcPr>
          <w:p>
            <w:pPr>
              <w:spacing w:after="20" w:line="250"/>
            </w:pPr>
            <w:r>
              <w:rPr>
                <w:color w:val="1A1A1A"/>
                <w:sz w:val="19"/>
                <w:szCs w:val="19"/>
              </w:rPr>
              <w:t xml:space="preserve">Normalised input unit</w:t>
            </w:r>
          </w:p>
        </w:tc>
      </w:tr>
      <w:tr>
        <w:tc>
          <w:tcPr>
            <w:tcW w:type="dxa" w:w="2300"/>
            <w:shd w:fill="F4F6F7" w:color="auto" w:val="clear"/>
            <w:tcMar>
              <w:top w:type="dxa" w:w="60"/>
              <w:left w:type="dxa" w:w="90"/>
              <w:bottom w:type="dxa" w:w="60"/>
              <w:right w:type="dxa" w:w="90"/>
            </w:tcMar>
          </w:tcPr>
          <w:p>
            <w:pPr>
              <w:spacing w:after="20" w:line="250"/>
            </w:pPr>
            <w:r>
              <w:rPr>
                <w:color w:val="1A1A1A"/>
                <w:sz w:val="19"/>
                <w:szCs w:val="19"/>
              </w:rPr>
              <w:t xml:space="preserve">DrugEvidence</w:t>
            </w:r>
          </w:p>
        </w:tc>
        <w:tc>
          <w:tcPr>
            <w:tcW w:type="dxa" w:w="4260"/>
            <w:shd w:fill="F4F6F7" w:color="auto" w:val="clear"/>
            <w:tcMar>
              <w:top w:type="dxa" w:w="60"/>
              <w:left w:type="dxa" w:w="90"/>
              <w:bottom w:type="dxa" w:w="60"/>
              <w:right w:type="dxa" w:w="90"/>
            </w:tcMar>
          </w:tcPr>
          <w:p>
            <w:pPr>
              <w:spacing w:after="20" w:line="250"/>
            </w:pPr>
            <w:r>
              <w:rPr>
                <w:color w:val="1A1A1A"/>
                <w:sz w:val="19"/>
                <w:szCs w:val="19"/>
              </w:rPr>
              <w:t xml:space="preserve">drug, call, confidence, route, variant_key, rationale, grade</w:t>
            </w:r>
          </w:p>
        </w:tc>
        <w:tc>
          <w:tcPr>
            <w:tcW w:type="dxa" w:w="2800"/>
            <w:shd w:fill="F4F6F7" w:color="auto" w:val="clear"/>
            <w:tcMar>
              <w:top w:type="dxa" w:w="60"/>
              <w:left w:type="dxa" w:w="90"/>
              <w:bottom w:type="dxa" w:w="60"/>
              <w:right w:type="dxa" w:w="90"/>
            </w:tcMar>
          </w:tcPr>
          <w:p>
            <w:pPr>
              <w:spacing w:after="20" w:line="250"/>
            </w:pPr>
            <w:r>
              <w:rPr>
                <w:color w:val="1A1A1A"/>
                <w:sz w:val="19"/>
                <w:szCs w:val="19"/>
              </w:rPr>
              <w:t xml:space="preserve">One lane's opinion on one drug</w:t>
            </w:r>
          </w:p>
        </w:tc>
      </w:tr>
      <w:tr>
        <w:tc>
          <w:tcPr>
            <w:tcW w:type="dxa" w:w="2300"/>
            <w:tcMar>
              <w:top w:type="dxa" w:w="60"/>
              <w:left w:type="dxa" w:w="90"/>
              <w:bottom w:type="dxa" w:w="60"/>
              <w:right w:type="dxa" w:w="90"/>
            </w:tcMar>
          </w:tcPr>
          <w:p>
            <w:pPr>
              <w:spacing w:after="20" w:line="250"/>
            </w:pPr>
            <w:r>
              <w:rPr>
                <w:color w:val="1A1A1A"/>
                <w:sz w:val="19"/>
                <w:szCs w:val="19"/>
              </w:rPr>
              <w:t xml:space="preserve">DrugResult</w:t>
            </w:r>
          </w:p>
        </w:tc>
        <w:tc>
          <w:tcPr>
            <w:tcW w:type="dxa" w:w="4260"/>
            <w:tcMar>
              <w:top w:type="dxa" w:w="60"/>
              <w:left w:type="dxa" w:w="90"/>
              <w:bottom w:type="dxa" w:w="60"/>
              <w:right w:type="dxa" w:w="90"/>
            </w:tcMar>
          </w:tcPr>
          <w:p>
            <w:pPr>
              <w:spacing w:after="20" w:line="250"/>
            </w:pPr>
            <w:r>
              <w:rPr>
                <w:color w:val="1A1A1A"/>
                <w:sz w:val="19"/>
                <w:szCs w:val="19"/>
              </w:rPr>
              <w:t xml:space="preserve">drug, call, confidence, evidence[]</w:t>
            </w:r>
          </w:p>
        </w:tc>
        <w:tc>
          <w:tcPr>
            <w:tcW w:type="dxa" w:w="2800"/>
            <w:tcMar>
              <w:top w:type="dxa" w:w="60"/>
              <w:left w:type="dxa" w:w="90"/>
              <w:bottom w:type="dxa" w:w="60"/>
              <w:right w:type="dxa" w:w="90"/>
            </w:tcMar>
          </w:tcPr>
          <w:p>
            <w:pPr>
              <w:spacing w:after="20" w:line="250"/>
            </w:pPr>
            <w:r>
              <w:rPr>
                <w:color w:val="1A1A1A"/>
                <w:sz w:val="19"/>
                <w:szCs w:val="19"/>
              </w:rPr>
              <w:t xml:space="preserve">Reconciled per-drug verdict</w:t>
            </w:r>
          </w:p>
        </w:tc>
      </w:tr>
      <w:tr>
        <w:tc>
          <w:tcPr>
            <w:tcW w:type="dxa" w:w="2300"/>
            <w:shd w:fill="F4F6F7" w:color="auto" w:val="clear"/>
            <w:tcMar>
              <w:top w:type="dxa" w:w="60"/>
              <w:left w:type="dxa" w:w="90"/>
              <w:bottom w:type="dxa" w:w="60"/>
              <w:right w:type="dxa" w:w="90"/>
            </w:tcMar>
          </w:tcPr>
          <w:p>
            <w:pPr>
              <w:spacing w:after="20" w:line="250"/>
            </w:pPr>
            <w:r>
              <w:rPr>
                <w:color w:val="1A1A1A"/>
                <w:sz w:val="19"/>
                <w:szCs w:val="19"/>
              </w:rPr>
              <w:t xml:space="preserve">HeteroresistanceFlag</w:t>
            </w:r>
          </w:p>
        </w:tc>
        <w:tc>
          <w:tcPr>
            <w:tcW w:type="dxa" w:w="4260"/>
            <w:shd w:fill="F4F6F7" w:color="auto" w:val="clear"/>
            <w:tcMar>
              <w:top w:type="dxa" w:w="60"/>
              <w:left w:type="dxa" w:w="90"/>
              <w:bottom w:type="dxa" w:w="60"/>
              <w:right w:type="dxa" w:w="90"/>
            </w:tcMar>
          </w:tcPr>
          <w:p>
            <w:pPr>
              <w:spacing w:after="20" w:line="250"/>
            </w:pPr>
            <w:r>
              <w:rPr>
                <w:color w:val="1A1A1A"/>
                <w:sz w:val="19"/>
                <w:szCs w:val="19"/>
              </w:rPr>
              <w:t xml:space="preserve">variant_key, drug, vaf, depth, note</w:t>
            </w:r>
          </w:p>
        </w:tc>
        <w:tc>
          <w:tcPr>
            <w:tcW w:type="dxa" w:w="2800"/>
            <w:shd w:fill="F4F6F7" w:color="auto" w:val="clear"/>
            <w:tcMar>
              <w:top w:type="dxa" w:w="60"/>
              <w:left w:type="dxa" w:w="90"/>
              <w:bottom w:type="dxa" w:w="60"/>
              <w:right w:type="dxa" w:w="90"/>
            </w:tcMar>
          </w:tcPr>
          <w:p>
            <w:pPr>
              <w:spacing w:after="20" w:line="250"/>
            </w:pPr>
            <w:r>
              <w:rPr>
                <w:color w:val="1A1A1A"/>
                <w:sz w:val="19"/>
                <w:szCs w:val="19"/>
              </w:rPr>
              <w:t xml:space="preserve">Minority-subpopulation warning</w:t>
            </w:r>
          </w:p>
        </w:tc>
      </w:tr>
      <w:tr>
        <w:tc>
          <w:tcPr>
            <w:tcW w:type="dxa" w:w="2300"/>
            <w:tcMar>
              <w:top w:type="dxa" w:w="60"/>
              <w:left w:type="dxa" w:w="90"/>
              <w:bottom w:type="dxa" w:w="60"/>
              <w:right w:type="dxa" w:w="90"/>
            </w:tcMar>
          </w:tcPr>
          <w:p>
            <w:pPr>
              <w:spacing w:after="20" w:line="250"/>
            </w:pPr>
            <w:r>
              <w:rPr>
                <w:color w:val="1A1A1A"/>
                <w:sz w:val="19"/>
                <w:szCs w:val="19"/>
              </w:rPr>
              <w:t xml:space="preserve">Regimen</w:t>
            </w:r>
          </w:p>
        </w:tc>
        <w:tc>
          <w:tcPr>
            <w:tcW w:type="dxa" w:w="4260"/>
            <w:tcMar>
              <w:top w:type="dxa" w:w="60"/>
              <w:left w:type="dxa" w:w="90"/>
              <w:bottom w:type="dxa" w:w="60"/>
              <w:right w:type="dxa" w:w="90"/>
            </w:tcMar>
          </w:tcPr>
          <w:p>
            <w:pPr>
              <w:spacing w:after="20" w:line="250"/>
            </w:pPr>
            <w:r>
              <w:rPr>
                <w:color w:val="1A1A1A"/>
                <w:sz w:val="19"/>
                <w:szCs w:val="19"/>
              </w:rPr>
              <w:t xml:space="preserve">proposed[], effective[], ineffective[], adequate, rationale</w:t>
            </w:r>
          </w:p>
        </w:tc>
        <w:tc>
          <w:tcPr>
            <w:tcW w:type="dxa" w:w="2800"/>
            <w:tcMar>
              <w:top w:type="dxa" w:w="60"/>
              <w:left w:type="dxa" w:w="90"/>
              <w:bottom w:type="dxa" w:w="60"/>
              <w:right w:type="dxa" w:w="90"/>
            </w:tcMar>
          </w:tcPr>
          <w:p>
            <w:pPr>
              <w:spacing w:after="20" w:line="250"/>
            </w:pPr>
            <w:r>
              <w:rPr>
                <w:color w:val="1A1A1A"/>
                <w:sz w:val="19"/>
                <w:szCs w:val="19"/>
              </w:rPr>
              <w:t xml:space="preserve">Recommendation</w:t>
            </w:r>
          </w:p>
        </w:tc>
      </w:tr>
      <w:tr>
        <w:tc>
          <w:tcPr>
            <w:tcW w:type="dxa" w:w="2300"/>
            <w:shd w:fill="F4F6F7" w:color="auto" w:val="clear"/>
            <w:tcMar>
              <w:top w:type="dxa" w:w="60"/>
              <w:left w:type="dxa" w:w="90"/>
              <w:bottom w:type="dxa" w:w="60"/>
              <w:right w:type="dxa" w:w="90"/>
            </w:tcMar>
          </w:tcPr>
          <w:p>
            <w:pPr>
              <w:spacing w:after="20" w:line="250"/>
            </w:pPr>
            <w:r>
              <w:rPr>
                <w:color w:val="1A1A1A"/>
                <w:sz w:val="19"/>
                <w:szCs w:val="19"/>
              </w:rPr>
              <w:t xml:space="preserve">DiscoveryResult</w:t>
            </w:r>
          </w:p>
        </w:tc>
        <w:tc>
          <w:tcPr>
            <w:tcW w:type="dxa" w:w="4260"/>
            <w:shd w:fill="F4F6F7" w:color="auto" w:val="clear"/>
            <w:tcMar>
              <w:top w:type="dxa" w:w="60"/>
              <w:left w:type="dxa" w:w="90"/>
              <w:bottom w:type="dxa" w:w="60"/>
              <w:right w:type="dxa" w:w="90"/>
            </w:tcMar>
          </w:tcPr>
          <w:p>
            <w:pPr>
              <w:spacing w:after="20" w:line="250"/>
            </w:pPr>
            <w:r>
              <w:rPr>
                <w:color w:val="1A1A1A"/>
                <w:sz w:val="19"/>
                <w:szCs w:val="19"/>
              </w:rPr>
              <w:t xml:space="preserve">triggered, reason, targets[]</w:t>
            </w:r>
          </w:p>
        </w:tc>
        <w:tc>
          <w:tcPr>
            <w:tcW w:type="dxa" w:w="2800"/>
            <w:shd w:fill="F4F6F7" w:color="auto" w:val="clear"/>
            <w:tcMar>
              <w:top w:type="dxa" w:w="60"/>
              <w:left w:type="dxa" w:w="90"/>
              <w:bottom w:type="dxa" w:w="60"/>
              <w:right w:type="dxa" w:w="90"/>
            </w:tcMar>
          </w:tcPr>
          <w:p>
            <w:pPr>
              <w:spacing w:after="20" w:line="250"/>
            </w:pPr>
            <w:r>
              <w:rPr>
                <w:color w:val="1A1A1A"/>
                <w:sz w:val="19"/>
                <w:szCs w:val="19"/>
              </w:rPr>
              <w:t xml:space="preserve">Discovery-loop output</w:t>
            </w:r>
          </w:p>
        </w:tc>
      </w:tr>
      <w:tr>
        <w:tc>
          <w:tcPr>
            <w:tcW w:type="dxa" w:w="2300"/>
            <w:tcMar>
              <w:top w:type="dxa" w:w="60"/>
              <w:left w:type="dxa" w:w="90"/>
              <w:bottom w:type="dxa" w:w="60"/>
              <w:right w:type="dxa" w:w="90"/>
            </w:tcMar>
          </w:tcPr>
          <w:p>
            <w:pPr>
              <w:spacing w:after="20" w:line="250"/>
            </w:pPr>
            <w:r>
              <w:rPr>
                <w:color w:val="1A1A1A"/>
                <w:sz w:val="19"/>
                <w:szCs w:val="19"/>
              </w:rPr>
              <w:t xml:space="preserve">AnalysisReport</w:t>
            </w:r>
          </w:p>
        </w:tc>
        <w:tc>
          <w:tcPr>
            <w:tcW w:type="dxa" w:w="4260"/>
            <w:tcMar>
              <w:top w:type="dxa" w:w="60"/>
              <w:left w:type="dxa" w:w="90"/>
              <w:bottom w:type="dxa" w:w="60"/>
              <w:right w:type="dxa" w:w="90"/>
            </w:tcMar>
          </w:tcPr>
          <w:p>
            <w:pPr>
              <w:spacing w:after="20" w:line="250"/>
            </w:pPr>
            <w:r>
              <w:rPr>
                <w:color w:val="1A1A1A"/>
                <w:sz w:val="19"/>
                <w:szCs w:val="19"/>
              </w:rPr>
              <w:t xml:space="preserve">sample_id, drug_results[], hetero[], regimen, discovery, provenance, qc, routing</w:t>
            </w:r>
          </w:p>
        </w:tc>
        <w:tc>
          <w:tcPr>
            <w:tcW w:type="dxa" w:w="2800"/>
            <w:tcMar>
              <w:top w:type="dxa" w:w="60"/>
              <w:left w:type="dxa" w:w="90"/>
              <w:bottom w:type="dxa" w:w="60"/>
              <w:right w:type="dxa" w:w="90"/>
            </w:tcMar>
          </w:tcPr>
          <w:p>
            <w:pPr>
              <w:spacing w:after="20" w:line="250"/>
            </w:pPr>
            <w:r>
              <w:rPr>
                <w:color w:val="1A1A1A"/>
                <w:sz w:val="19"/>
                <w:szCs w:val="19"/>
              </w:rPr>
              <w:t xml:space="preserve">The complete result object</w:t>
            </w:r>
          </w:p>
        </w:tc>
      </w:tr>
      <w:tr>
        <w:tc>
          <w:tcPr>
            <w:tcW w:type="dxa" w:w="2300"/>
            <w:shd w:fill="F4F6F7" w:color="auto" w:val="clear"/>
            <w:tcMar>
              <w:top w:type="dxa" w:w="60"/>
              <w:left w:type="dxa" w:w="90"/>
              <w:bottom w:type="dxa" w:w="60"/>
              <w:right w:type="dxa" w:w="90"/>
            </w:tcMar>
          </w:tcPr>
          <w:p>
            <w:pPr>
              <w:spacing w:after="20" w:line="250"/>
            </w:pPr>
            <w:r>
              <w:rPr>
                <w:color w:val="1A1A1A"/>
                <w:sz w:val="19"/>
                <w:szCs w:val="19"/>
              </w:rPr>
              <w:t xml:space="preserve">Provenance</w:t>
            </w:r>
          </w:p>
        </w:tc>
        <w:tc>
          <w:tcPr>
            <w:tcW w:type="dxa" w:w="4260"/>
            <w:shd w:fill="F4F6F7" w:color="auto" w:val="clear"/>
            <w:tcMar>
              <w:top w:type="dxa" w:w="60"/>
              <w:left w:type="dxa" w:w="90"/>
              <w:bottom w:type="dxa" w:w="60"/>
              <w:right w:type="dxa" w:w="90"/>
            </w:tcMar>
          </w:tcPr>
          <w:p>
            <w:pPr>
              <w:spacing w:after="20" w:line="250"/>
            </w:pPr>
            <w:r>
              <w:rPr>
                <w:color w:val="1A1A1A"/>
                <w:sz w:val="19"/>
                <w:szCs w:val="19"/>
              </w:rPr>
              <w:t xml:space="preserve">tool, version, catalogue_version, model, thresholds</w:t>
            </w:r>
          </w:p>
        </w:tc>
        <w:tc>
          <w:tcPr>
            <w:tcW w:type="dxa" w:w="2800"/>
            <w:shd w:fill="F4F6F7" w:color="auto" w:val="clear"/>
            <w:tcMar>
              <w:top w:type="dxa" w:w="60"/>
              <w:left w:type="dxa" w:w="90"/>
              <w:bottom w:type="dxa" w:w="60"/>
              <w:right w:type="dxa" w:w="90"/>
            </w:tcMar>
          </w:tcPr>
          <w:p>
            <w:pPr>
              <w:spacing w:after="20" w:line="250"/>
            </w:pPr>
            <w:r>
              <w:rPr>
                <w:color w:val="1A1A1A"/>
                <w:sz w:val="19"/>
                <w:szCs w:val="19"/>
              </w:rPr>
              <w:t xml:space="preserve">Audit and reproducibility</w:t>
            </w:r>
          </w:p>
        </w:tc>
      </w:tr>
    </w:tbl>
    <w:p>
      <w:pPr>
        <w:pStyle w:val="Heading2"/>
        <w:spacing w:after="100" w:before="240"/>
      </w:pPr>
      <w:r>
        <w:rPr>
          <w:b/>
          <w:bCs/>
          <w:color w:val="6E4B8A"/>
          <w:sz w:val="25"/>
          <w:szCs w:val="25"/>
        </w:rPr>
        <w:t xml:space="preserve">18.1 Call states</w:t>
      </w:r>
    </w:p>
    <w:p>
      <w:pPr>
        <w:spacing w:after="120" w:before="0" w:line="276"/>
      </w:pPr>
      <w:r>
        <w:rPr>
          <w:color w:val="1A1A1A"/>
          <w:sz w:val="21"/>
          <w:szCs w:val="21"/>
        </w:rPr>
        <w:t xml:space="preserve">The </w:t>
      </w:r>
      <w:r>
        <w:rPr>
          <w:b/>
          <w:bCs/>
          <w:color w:val="1A1A1A"/>
          <w:sz w:val="21"/>
          <w:szCs w:val="21"/>
        </w:rPr>
        <w:t xml:space="preserve">Call</w:t>
      </w:r>
      <w:r>
        <w:rPr>
          <w:color w:val="1A1A1A"/>
          <w:sz w:val="21"/>
          <w:szCs w:val="21"/>
        </w:rPr>
        <w:t xml:space="preserve"> enumeration distinguishes catalogued resistant/susceptible from predicted resistant/susceptible and indeterminate. This distinction propagates to every surface: reports mark predictions with an asterisk convention, and FHIR observations derived from predictions are emitted with preliminary status.</w:t>
      </w:r>
    </w:p>
    <w:p>
      <w:pPr>
        <w:pStyle w:val="Heading1"/>
        <w:spacing w:after="140" w:before="320"/>
      </w:pPr>
      <w:r>
        <w:rPr>
          <w:b/>
          <w:bCs/>
          <w:color w:val="2E5A6B"/>
          <w:sz w:val="30"/>
          <w:szCs w:val="30"/>
        </w:rPr>
        <w:t xml:space="preserve">19. Module interface contracts</w:t>
      </w:r>
    </w:p>
    <w:p>
      <w:pPr>
        <w:spacing w:after="120" w:before="0" w:line="276"/>
      </w:pPr>
      <w:r>
        <w:rPr>
          <w:color w:val="1A1A1A"/>
          <w:sz w:val="21"/>
          <w:szCs w:val="21"/>
        </w:rPr>
        <w:t xml:space="preserve">Every specialist lane implements a single-method interface: accept a </w:t>
      </w:r>
      <w:r>
        <w:rPr>
          <w:rFonts w:ascii="Consolas" w:cs="Consolas" w:eastAsia="Consolas" w:hAnsi="Consolas"/>
          <w:color w:val="3A3A3A"/>
          <w:sz w:val="19"/>
          <w:szCs w:val="19"/>
        </w:rPr>
        <w:t xml:space="preserve">Variant</w:t>
      </w:r>
      <w:r>
        <w:rPr>
          <w:color w:val="1A1A1A"/>
          <w:sz w:val="21"/>
          <w:szCs w:val="21"/>
        </w:rPr>
        <w:t xml:space="preserve">, return a </w:t>
      </w:r>
      <w:r>
        <w:rPr>
          <w:rFonts w:ascii="Consolas" w:cs="Consolas" w:eastAsia="Consolas" w:hAnsi="Consolas"/>
          <w:color w:val="3A3A3A"/>
          <w:sz w:val="19"/>
          <w:szCs w:val="19"/>
        </w:rPr>
        <w:t xml:space="preserve">DrugEvidence</w:t>
      </w:r>
      <w:r>
        <w:rPr>
          <w:color w:val="1A1A1A"/>
          <w:sz w:val="21"/>
          <w:szCs w:val="21"/>
        </w:rPr>
        <w:t xml:space="preserve"> or abstain with </w:t>
      </w:r>
      <w:r>
        <w:rPr>
          <w:rFonts w:ascii="Consolas" w:cs="Consolas" w:eastAsia="Consolas" w:hAnsi="Consolas"/>
          <w:color w:val="3A3A3A"/>
          <w:sz w:val="19"/>
          <w:szCs w:val="19"/>
        </w:rPr>
        <w:t xml:space="preserve">None</w:t>
      </w:r>
      <w:r>
        <w:rPr>
          <w:color w:val="1A1A1A"/>
          <w:sz w:val="21"/>
          <w:szCs w:val="21"/>
        </w:rPr>
        <w:t xml:space="preserve">. This is the extensibility seam — swapping the demonstration scorer for a trained estimator, or the illustrative catalogue for a full reference catalogue, changes nothing else in the system.</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1900"/>
        <w:gridCol w:w="2860"/>
        <w:gridCol w:w="2600"/>
        <w:gridCol w:w="2000"/>
      </w:tblGrid>
      <w:tr>
        <w:trPr>
          <w:tblHeader/>
        </w:trPr>
        <w:tc>
          <w:tcPr>
            <w:tcW w:type="dxa" w:w="1900"/>
            <w:shd w:fill="E9EEF0" w:color="auto" w:val="clear"/>
            <w:tcMar>
              <w:top w:type="dxa" w:w="60"/>
              <w:left w:type="dxa" w:w="90"/>
              <w:bottom w:type="dxa" w:w="60"/>
              <w:right w:type="dxa" w:w="90"/>
            </w:tcMar>
          </w:tcPr>
          <w:p>
            <w:pPr>
              <w:spacing w:after="20" w:line="250"/>
            </w:pPr>
            <w:r>
              <w:rPr>
                <w:b/>
                <w:bCs/>
                <w:color w:val="1A1A1A"/>
                <w:sz w:val="19"/>
                <w:szCs w:val="19"/>
              </w:rPr>
              <w:t xml:space="preserve">Lane</w:t>
            </w:r>
          </w:p>
        </w:tc>
        <w:tc>
          <w:tcPr>
            <w:tcW w:type="dxa" w:w="2860"/>
            <w:shd w:fill="E9EEF0" w:color="auto" w:val="clear"/>
            <w:tcMar>
              <w:top w:type="dxa" w:w="60"/>
              <w:left w:type="dxa" w:w="90"/>
              <w:bottom w:type="dxa" w:w="60"/>
              <w:right w:type="dxa" w:w="90"/>
            </w:tcMar>
          </w:tcPr>
          <w:p>
            <w:pPr>
              <w:spacing w:after="20" w:line="250"/>
            </w:pPr>
            <w:r>
              <w:rPr>
                <w:b/>
                <w:bCs/>
                <w:color w:val="1A1A1A"/>
                <w:sz w:val="19"/>
                <w:szCs w:val="19"/>
              </w:rPr>
              <w:t xml:space="preserve">Input</w:t>
            </w:r>
          </w:p>
        </w:tc>
        <w:tc>
          <w:tcPr>
            <w:tcW w:type="dxa" w:w="2600"/>
            <w:shd w:fill="E9EEF0" w:color="auto" w:val="clear"/>
            <w:tcMar>
              <w:top w:type="dxa" w:w="60"/>
              <w:left w:type="dxa" w:w="90"/>
              <w:bottom w:type="dxa" w:w="60"/>
              <w:right w:type="dxa" w:w="90"/>
            </w:tcMar>
          </w:tcPr>
          <w:p>
            <w:pPr>
              <w:spacing w:after="20" w:line="250"/>
            </w:pPr>
            <w:r>
              <w:rPr>
                <w:b/>
                <w:bCs/>
                <w:color w:val="1A1A1A"/>
                <w:sz w:val="19"/>
                <w:szCs w:val="19"/>
              </w:rPr>
              <w:t xml:space="preserve">Output</w:t>
            </w:r>
          </w:p>
        </w:tc>
        <w:tc>
          <w:tcPr>
            <w:tcW w:type="dxa" w:w="2000"/>
            <w:shd w:fill="E9EEF0" w:color="auto" w:val="clear"/>
            <w:tcMar>
              <w:top w:type="dxa" w:w="60"/>
              <w:left w:type="dxa" w:w="90"/>
              <w:bottom w:type="dxa" w:w="60"/>
              <w:right w:type="dxa" w:w="90"/>
            </w:tcMar>
          </w:tcPr>
          <w:p>
            <w:pPr>
              <w:spacing w:after="20" w:line="250"/>
            </w:pPr>
            <w:r>
              <w:rPr>
                <w:b/>
                <w:bCs/>
                <w:color w:val="1A1A1A"/>
                <w:sz w:val="19"/>
                <w:szCs w:val="19"/>
              </w:rPr>
              <w:t xml:space="preserve">Abstains when</w:t>
            </w:r>
          </w:p>
        </w:tc>
      </w:tr>
      <w:tr>
        <w:tc>
          <w:tcPr>
            <w:tcW w:type="dxa" w:w="1900"/>
            <w:tcMar>
              <w:top w:type="dxa" w:w="60"/>
              <w:left w:type="dxa" w:w="90"/>
              <w:bottom w:type="dxa" w:w="60"/>
              <w:right w:type="dxa" w:w="90"/>
            </w:tcMar>
          </w:tcPr>
          <w:p>
            <w:pPr>
              <w:spacing w:after="20" w:line="250"/>
            </w:pPr>
            <w:r>
              <w:rPr>
                <w:color w:val="1A1A1A"/>
                <w:sz w:val="19"/>
                <w:szCs w:val="19"/>
              </w:rPr>
              <w:t xml:space="preserve">Catalogue</w:t>
            </w:r>
          </w:p>
        </w:tc>
        <w:tc>
          <w:tcPr>
            <w:tcW w:type="dxa" w:w="2860"/>
            <w:tcMar>
              <w:top w:type="dxa" w:w="60"/>
              <w:left w:type="dxa" w:w="90"/>
              <w:bottom w:type="dxa" w:w="60"/>
              <w:right w:type="dxa" w:w="90"/>
            </w:tcMar>
          </w:tcPr>
          <w:p>
            <w:pPr>
              <w:spacing w:after="20" w:line="250"/>
            </w:pPr>
            <w:r>
              <w:rPr>
                <w:color w:val="1A1A1A"/>
                <w:sz w:val="19"/>
                <w:szCs w:val="19"/>
              </w:rPr>
              <w:t xml:space="preserve">Variant</w:t>
            </w:r>
          </w:p>
        </w:tc>
        <w:tc>
          <w:tcPr>
            <w:tcW w:type="dxa" w:w="2600"/>
            <w:tcMar>
              <w:top w:type="dxa" w:w="60"/>
              <w:left w:type="dxa" w:w="90"/>
              <w:bottom w:type="dxa" w:w="60"/>
              <w:right w:type="dxa" w:w="90"/>
            </w:tcMar>
          </w:tcPr>
          <w:p>
            <w:pPr>
              <w:spacing w:after="20" w:line="250"/>
            </w:pPr>
            <w:r>
              <w:rPr>
                <w:color w:val="1A1A1A"/>
                <w:sz w:val="19"/>
                <w:szCs w:val="19"/>
              </w:rPr>
              <w:t xml:space="preserve">Graded DrugEvidence</w:t>
            </w:r>
          </w:p>
        </w:tc>
        <w:tc>
          <w:tcPr>
            <w:tcW w:type="dxa" w:w="2000"/>
            <w:tcMar>
              <w:top w:type="dxa" w:w="60"/>
              <w:left w:type="dxa" w:w="90"/>
              <w:bottom w:type="dxa" w:w="60"/>
              <w:right w:type="dxa" w:w="90"/>
            </w:tcMar>
          </w:tcPr>
          <w:p>
            <w:pPr>
              <w:spacing w:after="20" w:line="250"/>
            </w:pPr>
            <w:r>
              <w:rPr>
                <w:color w:val="1A1A1A"/>
                <w:sz w:val="19"/>
                <w:szCs w:val="19"/>
              </w:rPr>
              <w:t xml:space="preserve">Variant not in catalogue</w:t>
            </w:r>
          </w:p>
        </w:tc>
      </w:tr>
      <w:tr>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VUS classifier</w:t>
            </w:r>
          </w:p>
        </w:tc>
        <w:tc>
          <w:tcPr>
            <w:tcW w:type="dxa" w:w="2860"/>
            <w:shd w:fill="F4F6F7" w:color="auto" w:val="clear"/>
            <w:tcMar>
              <w:top w:type="dxa" w:w="60"/>
              <w:left w:type="dxa" w:w="90"/>
              <w:bottom w:type="dxa" w:w="60"/>
              <w:right w:type="dxa" w:w="90"/>
            </w:tcMar>
          </w:tcPr>
          <w:p>
            <w:pPr>
              <w:spacing w:after="20" w:line="250"/>
            </w:pPr>
            <w:r>
              <w:rPr>
                <w:color w:val="1A1A1A"/>
                <w:sz w:val="19"/>
                <w:szCs w:val="19"/>
              </w:rPr>
              <w:t xml:space="preserve">Variant (coding, modelled gene)</w:t>
            </w:r>
          </w:p>
        </w:tc>
        <w:tc>
          <w:tcPr>
            <w:tcW w:type="dxa" w:w="2600"/>
            <w:shd w:fill="F4F6F7" w:color="auto" w:val="clear"/>
            <w:tcMar>
              <w:top w:type="dxa" w:w="60"/>
              <w:left w:type="dxa" w:w="90"/>
              <w:bottom w:type="dxa" w:w="60"/>
              <w:right w:type="dxa" w:w="90"/>
            </w:tcMar>
          </w:tcPr>
          <w:p>
            <w:pPr>
              <w:spacing w:after="20" w:line="250"/>
            </w:pPr>
            <w:r>
              <w:rPr>
                <w:color w:val="1A1A1A"/>
                <w:sz w:val="19"/>
                <w:szCs w:val="19"/>
              </w:rPr>
              <w:t xml:space="preserve">Predicted DrugEvidence + attributions</w:t>
            </w:r>
          </w:p>
        </w:tc>
        <w:tc>
          <w:tcPr>
            <w:tcW w:type="dxa" w:w="2000"/>
            <w:shd w:fill="F4F6F7" w:color="auto" w:val="clear"/>
            <w:tcMar>
              <w:top w:type="dxa" w:w="60"/>
              <w:left w:type="dxa" w:w="90"/>
              <w:bottom w:type="dxa" w:w="60"/>
              <w:right w:type="dxa" w:w="90"/>
            </w:tcMar>
          </w:tcPr>
          <w:p>
            <w:pPr>
              <w:spacing w:after="20" w:line="250"/>
            </w:pPr>
            <w:r>
              <w:rPr>
                <w:color w:val="1A1A1A"/>
                <w:sz w:val="19"/>
                <w:szCs w:val="19"/>
              </w:rPr>
              <w:t xml:space="preserve">Gene not modelled; probability in abstain band → indeterminate</w:t>
            </w:r>
          </w:p>
        </w:tc>
      </w:tr>
      <w:tr>
        <w:tc>
          <w:tcPr>
            <w:tcW w:type="dxa" w:w="1900"/>
            <w:tcMar>
              <w:top w:type="dxa" w:w="60"/>
              <w:left w:type="dxa" w:w="90"/>
              <w:bottom w:type="dxa" w:w="60"/>
              <w:right w:type="dxa" w:w="90"/>
            </w:tcMar>
          </w:tcPr>
          <w:p>
            <w:pPr>
              <w:spacing w:after="20" w:line="250"/>
            </w:pPr>
            <w:r>
              <w:rPr>
                <w:color w:val="1A1A1A"/>
                <w:sz w:val="19"/>
                <w:szCs w:val="19"/>
              </w:rPr>
              <w:t xml:space="preserve">Efflux/regulatory</w:t>
            </w:r>
          </w:p>
        </w:tc>
        <w:tc>
          <w:tcPr>
            <w:tcW w:type="dxa" w:w="2860"/>
            <w:tcMar>
              <w:top w:type="dxa" w:w="60"/>
              <w:left w:type="dxa" w:w="90"/>
              <w:bottom w:type="dxa" w:w="60"/>
              <w:right w:type="dxa" w:w="90"/>
            </w:tcMar>
          </w:tcPr>
          <w:p>
            <w:pPr>
              <w:spacing w:after="20" w:line="250"/>
            </w:pPr>
            <w:r>
              <w:rPr>
                <w:color w:val="1A1A1A"/>
                <w:sz w:val="19"/>
                <w:szCs w:val="19"/>
              </w:rPr>
              <w:t xml:space="preserve">Variant (efflux locus or non-coding)</w:t>
            </w:r>
          </w:p>
        </w:tc>
        <w:tc>
          <w:tcPr>
            <w:tcW w:type="dxa" w:w="2600"/>
            <w:tcMar>
              <w:top w:type="dxa" w:w="60"/>
              <w:left w:type="dxa" w:w="90"/>
              <w:bottom w:type="dxa" w:w="60"/>
              <w:right w:type="dxa" w:w="90"/>
            </w:tcMar>
          </w:tcPr>
          <w:p>
            <w:pPr>
              <w:spacing w:after="20" w:line="250"/>
            </w:pPr>
            <w:r>
              <w:rPr>
                <w:color w:val="1A1A1A"/>
                <w:sz w:val="19"/>
                <w:szCs w:val="19"/>
              </w:rPr>
              <w:t xml:space="preserve">Predicted DrugEvidence</w:t>
            </w:r>
          </w:p>
        </w:tc>
        <w:tc>
          <w:tcPr>
            <w:tcW w:type="dxa" w:w="2000"/>
            <w:tcMar>
              <w:top w:type="dxa" w:w="60"/>
              <w:left w:type="dxa" w:w="90"/>
              <w:bottom w:type="dxa" w:w="60"/>
              <w:right w:type="dxa" w:w="90"/>
            </w:tcMar>
          </w:tcPr>
          <w:p>
            <w:pPr>
              <w:spacing w:after="20" w:line="250"/>
            </w:pPr>
            <w:r>
              <w:rPr>
                <w:color w:val="1A1A1A"/>
                <w:sz w:val="19"/>
                <w:szCs w:val="19"/>
              </w:rPr>
              <w:t xml:space="preserve">Not an efflux/regulatory context</w:t>
            </w:r>
          </w:p>
        </w:tc>
      </w:tr>
      <w:tr>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Acquired-gene</w:t>
            </w:r>
          </w:p>
        </w:tc>
        <w:tc>
          <w:tcPr>
            <w:tcW w:type="dxa" w:w="2860"/>
            <w:shd w:fill="F4F6F7" w:color="auto" w:val="clear"/>
            <w:tcMar>
              <w:top w:type="dxa" w:w="60"/>
              <w:left w:type="dxa" w:w="90"/>
              <w:bottom w:type="dxa" w:w="60"/>
              <w:right w:type="dxa" w:w="90"/>
            </w:tcMar>
          </w:tcPr>
          <w:p>
            <w:pPr>
              <w:spacing w:after="20" w:line="250"/>
            </w:pPr>
            <w:r>
              <w:rPr>
                <w:color w:val="1A1A1A"/>
                <w:sz w:val="19"/>
                <w:szCs w:val="19"/>
              </w:rPr>
              <w:t xml:space="preserve">Gene/allele hit</w:t>
            </w:r>
          </w:p>
        </w:tc>
        <w:tc>
          <w:tcPr>
            <w:tcW w:type="dxa" w:w="2600"/>
            <w:shd w:fill="F4F6F7" w:color="auto" w:val="clear"/>
            <w:tcMar>
              <w:top w:type="dxa" w:w="60"/>
              <w:left w:type="dxa" w:w="90"/>
              <w:bottom w:type="dxa" w:w="60"/>
              <w:right w:type="dxa" w:w="90"/>
            </w:tcMar>
          </w:tcPr>
          <w:p>
            <w:pPr>
              <w:spacing w:after="20" w:line="250"/>
            </w:pPr>
            <w:r>
              <w:rPr>
                <w:color w:val="1A1A1A"/>
                <w:sz w:val="19"/>
                <w:szCs w:val="19"/>
              </w:rPr>
              <w:t xml:space="preserve">DrugEvidence (+ mobile context)</w:t>
            </w:r>
          </w:p>
        </w:tc>
        <w:tc>
          <w:tcPr>
            <w:tcW w:type="dxa" w:w="2000"/>
            <w:shd w:fill="F4F6F7" w:color="auto" w:val="clear"/>
            <w:tcMar>
              <w:top w:type="dxa" w:w="60"/>
              <w:left w:type="dxa" w:w="90"/>
              <w:bottom w:type="dxa" w:w="60"/>
              <w:right w:type="dxa" w:w="90"/>
            </w:tcMar>
          </w:tcPr>
          <w:p>
            <w:pPr>
              <w:spacing w:after="20" w:line="250"/>
            </w:pPr>
            <w:r>
              <w:rPr>
                <w:color w:val="1A1A1A"/>
                <w:sz w:val="19"/>
                <w:szCs w:val="19"/>
              </w:rPr>
              <w:t xml:space="preserve">No acquired determinant present</w:t>
            </w:r>
          </w:p>
        </w:tc>
      </w:tr>
    </w:tbl>
    <w:p>
      <w:pPr>
        <w:pStyle w:val="Heading1"/>
        <w:spacing w:after="140" w:before="320"/>
      </w:pPr>
      <w:r>
        <w:rPr>
          <w:b/>
          <w:bCs/>
          <w:color w:val="2E5A6B"/>
          <w:sz w:val="30"/>
          <w:szCs w:val="30"/>
        </w:rPr>
        <w:t xml:space="preserve">20. Organism profile specification</w:t>
      </w:r>
    </w:p>
    <w:p>
      <w:pPr>
        <w:spacing w:after="120" w:before="0" w:line="276"/>
      </w:pPr>
      <w:r>
        <w:rPr>
          <w:color w:val="1A1A1A"/>
          <w:sz w:val="21"/>
          <w:szCs w:val="21"/>
        </w:rPr>
        <w:t xml:space="preserve">A profile is the unit of organism support. It is a declarative bundle that the engine loads at runtime.</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200"/>
        <w:gridCol w:w="4160"/>
        <w:gridCol w:w="3000"/>
      </w:tblGrid>
      <w:tr>
        <w:trPr>
          <w:tblHeader/>
        </w:trPr>
        <w:tc>
          <w:tcPr>
            <w:tcW w:type="dxa" w:w="2200"/>
            <w:shd w:fill="E9EEF0" w:color="auto" w:val="clear"/>
            <w:tcMar>
              <w:top w:type="dxa" w:w="60"/>
              <w:left w:type="dxa" w:w="90"/>
              <w:bottom w:type="dxa" w:w="60"/>
              <w:right w:type="dxa" w:w="90"/>
            </w:tcMar>
          </w:tcPr>
          <w:p>
            <w:pPr>
              <w:spacing w:after="20" w:line="250"/>
            </w:pPr>
            <w:r>
              <w:rPr>
                <w:b/>
                <w:bCs/>
                <w:color w:val="1A1A1A"/>
                <w:sz w:val="19"/>
                <w:szCs w:val="19"/>
              </w:rPr>
              <w:t xml:space="preserve">Profile element</w:t>
            </w:r>
          </w:p>
        </w:tc>
        <w:tc>
          <w:tcPr>
            <w:tcW w:type="dxa" w:w="4160"/>
            <w:shd w:fill="E9EEF0" w:color="auto" w:val="clear"/>
            <w:tcMar>
              <w:top w:type="dxa" w:w="60"/>
              <w:left w:type="dxa" w:w="90"/>
              <w:bottom w:type="dxa" w:w="60"/>
              <w:right w:type="dxa" w:w="90"/>
            </w:tcMar>
          </w:tcPr>
          <w:p>
            <w:pPr>
              <w:spacing w:after="20" w:line="250"/>
            </w:pPr>
            <w:r>
              <w:rPr>
                <w:b/>
                <w:bCs/>
                <w:color w:val="1A1A1A"/>
                <w:sz w:val="19"/>
                <w:szCs w:val="19"/>
              </w:rPr>
              <w:t xml:space="preserve">Contents</w:t>
            </w:r>
          </w:p>
        </w:tc>
        <w:tc>
          <w:tcPr>
            <w:tcW w:type="dxa" w:w="3000"/>
            <w:shd w:fill="E9EEF0" w:color="auto" w:val="clear"/>
            <w:tcMar>
              <w:top w:type="dxa" w:w="60"/>
              <w:left w:type="dxa" w:w="90"/>
              <w:bottom w:type="dxa" w:w="60"/>
              <w:right w:type="dxa" w:w="90"/>
            </w:tcMar>
          </w:tcPr>
          <w:p>
            <w:pPr>
              <w:spacing w:after="20" w:line="250"/>
            </w:pPr>
            <w:r>
              <w:rPr>
                <w:b/>
                <w:bCs/>
                <w:color w:val="1A1A1A"/>
                <w:sz w:val="19"/>
                <w:szCs w:val="19"/>
              </w:rPr>
              <w:t xml:space="preserve">Example (mycobacterial)</w:t>
            </w:r>
          </w:p>
        </w:tc>
      </w:tr>
      <w:tr>
        <w:tc>
          <w:tcPr>
            <w:tcW w:type="dxa" w:w="2200"/>
            <w:tcMar>
              <w:top w:type="dxa" w:w="60"/>
              <w:left w:type="dxa" w:w="90"/>
              <w:bottom w:type="dxa" w:w="60"/>
              <w:right w:type="dxa" w:w="90"/>
            </w:tcMar>
          </w:tcPr>
          <w:p>
            <w:pPr>
              <w:spacing w:after="20" w:line="250"/>
            </w:pPr>
            <w:r>
              <w:rPr>
                <w:color w:val="1A1A1A"/>
                <w:sz w:val="19"/>
                <w:szCs w:val="19"/>
              </w:rPr>
              <w:t xml:space="preserve">Catalogue</w:t>
            </w:r>
          </w:p>
        </w:tc>
        <w:tc>
          <w:tcPr>
            <w:tcW w:type="dxa" w:w="4160"/>
            <w:tcMar>
              <w:top w:type="dxa" w:w="60"/>
              <w:left w:type="dxa" w:w="90"/>
              <w:bottom w:type="dxa" w:w="60"/>
              <w:right w:type="dxa" w:w="90"/>
            </w:tcMar>
          </w:tcPr>
          <w:p>
            <w:pPr>
              <w:spacing w:after="20" w:line="250"/>
            </w:pPr>
            <w:r>
              <w:rPr>
                <w:color w:val="1A1A1A"/>
                <w:sz w:val="19"/>
                <w:szCs w:val="19"/>
              </w:rPr>
              <w:t xml:space="preserve">Graded gene/change → drug/phenotype records</w:t>
            </w:r>
          </w:p>
        </w:tc>
        <w:tc>
          <w:tcPr>
            <w:tcW w:type="dxa" w:w="3000"/>
            <w:tcMar>
              <w:top w:type="dxa" w:w="60"/>
              <w:left w:type="dxa" w:w="90"/>
              <w:bottom w:type="dxa" w:w="60"/>
              <w:right w:type="dxa" w:w="90"/>
            </w:tcMar>
          </w:tcPr>
          <w:p>
            <w:pPr>
              <w:spacing w:after="20" w:line="250"/>
            </w:pPr>
            <w:r>
              <w:rPr>
                <w:color w:val="1A1A1A"/>
                <w:sz w:val="19"/>
                <w:szCs w:val="19"/>
              </w:rPr>
              <w:t xml:space="preserve">WHO M. tuberculosis catalogue records</w:t>
            </w:r>
          </w:p>
        </w:tc>
      </w:tr>
      <w:tr>
        <w:tc>
          <w:tcPr>
            <w:tcW w:type="dxa" w:w="2200"/>
            <w:shd w:fill="F4F6F7" w:color="auto" w:val="clear"/>
            <w:tcMar>
              <w:top w:type="dxa" w:w="60"/>
              <w:left w:type="dxa" w:w="90"/>
              <w:bottom w:type="dxa" w:w="60"/>
              <w:right w:type="dxa" w:w="90"/>
            </w:tcMar>
          </w:tcPr>
          <w:p>
            <w:pPr>
              <w:spacing w:after="20" w:line="250"/>
            </w:pPr>
            <w:r>
              <w:rPr>
                <w:color w:val="1A1A1A"/>
                <w:sz w:val="19"/>
                <w:szCs w:val="19"/>
              </w:rPr>
              <w:t xml:space="preserve">Drugs &amp; regimens</w:t>
            </w:r>
          </w:p>
        </w:tc>
        <w:tc>
          <w:tcPr>
            <w:tcW w:type="dxa" w:w="4160"/>
            <w:shd w:fill="F4F6F7" w:color="auto" w:val="clear"/>
            <w:tcMar>
              <w:top w:type="dxa" w:w="60"/>
              <w:left w:type="dxa" w:w="90"/>
              <w:bottom w:type="dxa" w:w="60"/>
              <w:right w:type="dxa" w:w="90"/>
            </w:tcMar>
          </w:tcPr>
          <w:p>
            <w:pPr>
              <w:spacing w:after="20" w:line="250"/>
            </w:pPr>
            <w:r>
              <w:rPr>
                <w:color w:val="1A1A1A"/>
                <w:sz w:val="19"/>
                <w:szCs w:val="19"/>
              </w:rPr>
              <w:t xml:space="preserve">Drug list and effective-drug floors per regimen</w:t>
            </w:r>
          </w:p>
        </w:tc>
        <w:tc>
          <w:tcPr>
            <w:tcW w:type="dxa" w:w="3000"/>
            <w:shd w:fill="F4F6F7" w:color="auto" w:val="clear"/>
            <w:tcMar>
              <w:top w:type="dxa" w:w="60"/>
              <w:left w:type="dxa" w:w="90"/>
              <w:bottom w:type="dxa" w:w="60"/>
              <w:right w:type="dxa" w:w="90"/>
            </w:tcMar>
          </w:tcPr>
          <w:p>
            <w:pPr>
              <w:spacing w:after="20" w:line="250"/>
            </w:pPr>
            <w:r>
              <w:rPr>
                <w:color w:val="1A1A1A"/>
                <w:sz w:val="19"/>
                <w:szCs w:val="19"/>
              </w:rPr>
              <w:t xml:space="preserve">First-line; short all-oral regimens</w:t>
            </w:r>
          </w:p>
        </w:tc>
      </w:tr>
      <w:tr>
        <w:tc>
          <w:tcPr>
            <w:tcW w:type="dxa" w:w="2200"/>
            <w:tcMar>
              <w:top w:type="dxa" w:w="60"/>
              <w:left w:type="dxa" w:w="90"/>
              <w:bottom w:type="dxa" w:w="60"/>
              <w:right w:type="dxa" w:w="90"/>
            </w:tcMar>
          </w:tcPr>
          <w:p>
            <w:pPr>
              <w:spacing w:after="20" w:line="250"/>
            </w:pPr>
            <w:r>
              <w:rPr>
                <w:color w:val="1A1A1A"/>
                <w:sz w:val="19"/>
                <w:szCs w:val="19"/>
              </w:rPr>
              <w:t xml:space="preserve">Gene-to-drug map</w:t>
            </w:r>
          </w:p>
        </w:tc>
        <w:tc>
          <w:tcPr>
            <w:tcW w:type="dxa" w:w="4160"/>
            <w:tcMar>
              <w:top w:type="dxa" w:w="60"/>
              <w:left w:type="dxa" w:w="90"/>
              <w:bottom w:type="dxa" w:w="60"/>
              <w:right w:type="dxa" w:w="90"/>
            </w:tcMar>
          </w:tcPr>
          <w:p>
            <w:pPr>
              <w:spacing w:after="20" w:line="250"/>
            </w:pPr>
            <w:r>
              <w:rPr>
                <w:color w:val="1A1A1A"/>
                <w:sz w:val="19"/>
                <w:szCs w:val="19"/>
              </w:rPr>
              <w:t xml:space="preserve">Which gene's VUS affects which drug</w:t>
            </w:r>
          </w:p>
        </w:tc>
        <w:tc>
          <w:tcPr>
            <w:tcW w:type="dxa" w:w="3000"/>
            <w:tcMar>
              <w:top w:type="dxa" w:w="60"/>
              <w:left w:type="dxa" w:w="90"/>
              <w:bottom w:type="dxa" w:w="60"/>
              <w:right w:type="dxa" w:w="90"/>
            </w:tcMar>
          </w:tcPr>
          <w:p>
            <w:pPr>
              <w:spacing w:after="20" w:line="250"/>
            </w:pPr>
            <w:r>
              <w:rPr>
                <w:color w:val="1A1A1A"/>
                <w:sz w:val="19"/>
                <w:szCs w:val="19"/>
              </w:rPr>
              <w:t xml:space="preserve">katG/inhA → isoniazid; rpoB → rifampicin</w:t>
            </w:r>
          </w:p>
        </w:tc>
      </w:tr>
      <w:tr>
        <w:tc>
          <w:tcPr>
            <w:tcW w:type="dxa" w:w="2200"/>
            <w:shd w:fill="F4F6F7" w:color="auto" w:val="clear"/>
            <w:tcMar>
              <w:top w:type="dxa" w:w="60"/>
              <w:left w:type="dxa" w:w="90"/>
              <w:bottom w:type="dxa" w:w="60"/>
              <w:right w:type="dxa" w:w="90"/>
            </w:tcMar>
          </w:tcPr>
          <w:p>
            <w:pPr>
              <w:spacing w:after="20" w:line="250"/>
            </w:pPr>
            <w:r>
              <w:rPr>
                <w:color w:val="1A1A1A"/>
                <w:sz w:val="19"/>
                <w:szCs w:val="19"/>
              </w:rPr>
              <w:t xml:space="preserve">Enabled lanes</w:t>
            </w:r>
          </w:p>
        </w:tc>
        <w:tc>
          <w:tcPr>
            <w:tcW w:type="dxa" w:w="4160"/>
            <w:shd w:fill="F4F6F7" w:color="auto" w:val="clear"/>
            <w:tcMar>
              <w:top w:type="dxa" w:w="60"/>
              <w:left w:type="dxa" w:w="90"/>
              <w:bottom w:type="dxa" w:w="60"/>
              <w:right w:type="dxa" w:w="90"/>
            </w:tcMar>
          </w:tcPr>
          <w:p>
            <w:pPr>
              <w:spacing w:after="20" w:line="250"/>
            </w:pPr>
            <w:r>
              <w:rPr>
                <w:color w:val="1A1A1A"/>
                <w:sz w:val="19"/>
                <w:szCs w:val="19"/>
              </w:rPr>
              <w:t xml:space="preserve">Which specialist lanes are active</w:t>
            </w:r>
          </w:p>
        </w:tc>
        <w:tc>
          <w:tcPr>
            <w:tcW w:type="dxa" w:w="3000"/>
            <w:shd w:fill="F4F6F7" w:color="auto" w:val="clear"/>
            <w:tcMar>
              <w:top w:type="dxa" w:w="60"/>
              <w:left w:type="dxa" w:w="90"/>
              <w:bottom w:type="dxa" w:w="60"/>
              <w:right w:type="dxa" w:w="90"/>
            </w:tcMar>
          </w:tcPr>
          <w:p>
            <w:pPr>
              <w:spacing w:after="20" w:line="250"/>
            </w:pPr>
            <w:r>
              <w:rPr>
                <w:color w:val="1A1A1A"/>
                <w:sz w:val="19"/>
                <w:szCs w:val="19"/>
              </w:rPr>
              <w:t xml:space="preserve">Catalogue, VUS, efflux/regulatory, heteroresistance</w:t>
            </w:r>
          </w:p>
        </w:tc>
      </w:tr>
      <w:tr>
        <w:tc>
          <w:tcPr>
            <w:tcW w:type="dxa" w:w="2200"/>
            <w:tcMar>
              <w:top w:type="dxa" w:w="60"/>
              <w:left w:type="dxa" w:w="90"/>
              <w:bottom w:type="dxa" w:w="60"/>
              <w:right w:type="dxa" w:w="90"/>
            </w:tcMar>
          </w:tcPr>
          <w:p>
            <w:pPr>
              <w:spacing w:after="20" w:line="250"/>
            </w:pPr>
            <w:r>
              <w:rPr>
                <w:color w:val="1A1A1A"/>
                <w:sz w:val="19"/>
                <w:szCs w:val="19"/>
              </w:rPr>
              <w:t xml:space="preserve">Discovery proteome</w:t>
            </w:r>
          </w:p>
        </w:tc>
        <w:tc>
          <w:tcPr>
            <w:tcW w:type="dxa" w:w="4160"/>
            <w:tcMar>
              <w:top w:type="dxa" w:w="60"/>
              <w:left w:type="dxa" w:w="90"/>
              <w:bottom w:type="dxa" w:w="60"/>
              <w:right w:type="dxa" w:w="90"/>
            </w:tcMar>
          </w:tcPr>
          <w:p>
            <w:pPr>
              <w:spacing w:after="20" w:line="250"/>
            </w:pPr>
            <w:r>
              <w:rPr>
                <w:color w:val="1A1A1A"/>
                <w:sz w:val="19"/>
                <w:szCs w:val="19"/>
              </w:rPr>
              <w:t xml:space="preserve">Target set for the discovery funnel</w:t>
            </w:r>
          </w:p>
        </w:tc>
        <w:tc>
          <w:tcPr>
            <w:tcW w:type="dxa" w:w="3000"/>
            <w:tcMar>
              <w:top w:type="dxa" w:w="60"/>
              <w:left w:type="dxa" w:w="90"/>
              <w:bottom w:type="dxa" w:w="60"/>
              <w:right w:type="dxa" w:w="90"/>
            </w:tcMar>
          </w:tcPr>
          <w:p>
            <w:pPr>
              <w:spacing w:after="20" w:line="250"/>
            </w:pPr>
            <w:r>
              <w:rPr>
                <w:color w:val="1A1A1A"/>
                <w:sz w:val="19"/>
                <w:szCs w:val="19"/>
              </w:rPr>
              <w:t xml:space="preserve">Validated mycobacterial targets</w:t>
            </w:r>
          </w:p>
        </w:tc>
      </w:tr>
    </w:tbl>
    <w:p>
      <w:pPr>
        <w:spacing w:after="120" w:before="0" w:line="276"/>
      </w:pPr>
      <w:r>
        <w:rPr>
          <w:b/>
          <w:bCs/>
          <w:color w:val="1A1A1A"/>
          <w:sz w:val="21"/>
          <w:szCs w:val="21"/>
        </w:rPr>
        <w:t xml:space="preserve">Generalisation contract. </w:t>
      </w:r>
      <w:r>
        <w:rPr>
          <w:color w:val="1A1A1A"/>
          <w:sz w:val="21"/>
          <w:szCs w:val="21"/>
        </w:rPr>
        <w:t xml:space="preserve">An acquired-resistance profile (e.g., Enterobacterales) supplies acquired-gene database references and enables the acquired-gene lane; redefines “novel” as a new gene/allele; and swaps the drug, regimen, and target content. The orchestration spine is unchanged.</w:t>
      </w:r>
    </w:p>
    <w:p>
      <w:pPr>
        <w:pStyle w:val="Heading1"/>
        <w:spacing w:after="140" w:before="320"/>
      </w:pPr>
      <w:r>
        <w:rPr>
          <w:b/>
          <w:bCs/>
          <w:color w:val="2E5A6B"/>
          <w:sz w:val="30"/>
          <w:szCs w:val="30"/>
        </w:rPr>
        <w:t xml:space="preserve">21. Functional requirements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900"/>
        <w:gridCol w:w="7460"/>
        <w:gridCol w:w="1000"/>
      </w:tblGrid>
      <w:tr>
        <w:trPr>
          <w:tblHeader/>
        </w:trPr>
        <w:tc>
          <w:tcPr>
            <w:tcW w:type="dxa" w:w="900"/>
            <w:shd w:fill="E9EEF0" w:color="auto" w:val="clear"/>
            <w:tcMar>
              <w:top w:type="dxa" w:w="60"/>
              <w:left w:type="dxa" w:w="90"/>
              <w:bottom w:type="dxa" w:w="60"/>
              <w:right w:type="dxa" w:w="90"/>
            </w:tcMar>
          </w:tcPr>
          <w:p>
            <w:pPr>
              <w:spacing w:after="20" w:line="250"/>
            </w:pPr>
            <w:r>
              <w:rPr>
                <w:b/>
                <w:bCs/>
                <w:color w:val="1A1A1A"/>
                <w:sz w:val="19"/>
                <w:szCs w:val="19"/>
              </w:rPr>
              <w:t xml:space="preserve">ID</w:t>
            </w:r>
          </w:p>
        </w:tc>
        <w:tc>
          <w:tcPr>
            <w:tcW w:type="dxa" w:w="7460"/>
            <w:shd w:fill="E9EEF0" w:color="auto" w:val="clear"/>
            <w:tcMar>
              <w:top w:type="dxa" w:w="60"/>
              <w:left w:type="dxa" w:w="90"/>
              <w:bottom w:type="dxa" w:w="60"/>
              <w:right w:type="dxa" w:w="90"/>
            </w:tcMar>
          </w:tcPr>
          <w:p>
            <w:pPr>
              <w:spacing w:after="20" w:line="250"/>
            </w:pPr>
            <w:r>
              <w:rPr>
                <w:b/>
                <w:bCs/>
                <w:color w:val="1A1A1A"/>
                <w:sz w:val="19"/>
                <w:szCs w:val="19"/>
              </w:rPr>
              <w:t xml:space="preserve">Requirement</w:t>
            </w:r>
          </w:p>
        </w:tc>
        <w:tc>
          <w:tcPr>
            <w:tcW w:type="dxa" w:w="1000"/>
            <w:shd w:fill="E9EEF0" w:color="auto" w:val="clear"/>
            <w:tcMar>
              <w:top w:type="dxa" w:w="60"/>
              <w:left w:type="dxa" w:w="90"/>
              <w:bottom w:type="dxa" w:w="60"/>
              <w:right w:type="dxa" w:w="90"/>
            </w:tcMar>
          </w:tcPr>
          <w:p>
            <w:pPr>
              <w:spacing w:after="20" w:line="250"/>
            </w:pPr>
            <w:r>
              <w:rPr>
                <w:b/>
                <w:bCs/>
                <w:color w:val="1A1A1A"/>
                <w:sz w:val="19"/>
                <w:szCs w:val="19"/>
              </w:rPr>
              <w:t xml:space="preserve">Priority</w:t>
            </w:r>
          </w:p>
        </w:tc>
      </w:tr>
      <w:tr>
        <w:tc>
          <w:tcPr>
            <w:tcW w:type="dxa" w:w="900"/>
            <w:tcMar>
              <w:top w:type="dxa" w:w="60"/>
              <w:left w:type="dxa" w:w="90"/>
              <w:bottom w:type="dxa" w:w="60"/>
              <w:right w:type="dxa" w:w="90"/>
            </w:tcMar>
          </w:tcPr>
          <w:p>
            <w:pPr>
              <w:spacing w:after="20" w:line="250"/>
            </w:pPr>
            <w:r>
              <w:rPr>
                <w:color w:val="1A1A1A"/>
                <w:sz w:val="19"/>
                <w:szCs w:val="19"/>
              </w:rPr>
              <w:t xml:space="preserve">FR-01</w:t>
            </w:r>
          </w:p>
        </w:tc>
        <w:tc>
          <w:tcPr>
            <w:tcW w:type="dxa" w:w="7460"/>
            <w:tcMar>
              <w:top w:type="dxa" w:w="60"/>
              <w:left w:type="dxa" w:w="90"/>
              <w:bottom w:type="dxa" w:w="60"/>
              <w:right w:type="dxa" w:w="90"/>
            </w:tcMar>
          </w:tcPr>
          <w:p>
            <w:pPr>
              <w:spacing w:after="20" w:line="250"/>
            </w:pPr>
            <w:r>
              <w:rPr>
                <w:color w:val="1A1A1A"/>
                <w:sz w:val="19"/>
                <w:szCs w:val="19"/>
              </w:rPr>
              <w:t xml:space="preserve">Ingest VCF, TSV, and JSON variant inputs and normalise to canonical variants</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FR-02</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Apply configurable coverage-gated QC and record dropped loci as warnings</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Must</w:t>
            </w:r>
          </w:p>
        </w:tc>
      </w:tr>
      <w:tr>
        <w:tc>
          <w:tcPr>
            <w:tcW w:type="dxa" w:w="900"/>
            <w:tcMar>
              <w:top w:type="dxa" w:w="60"/>
              <w:left w:type="dxa" w:w="90"/>
              <w:bottom w:type="dxa" w:w="60"/>
              <w:right w:type="dxa" w:w="90"/>
            </w:tcMar>
          </w:tcPr>
          <w:p>
            <w:pPr>
              <w:spacing w:after="20" w:line="250"/>
            </w:pPr>
            <w:r>
              <w:rPr>
                <w:color w:val="1A1A1A"/>
                <w:sz w:val="19"/>
                <w:szCs w:val="19"/>
              </w:rPr>
              <w:t xml:space="preserve">FR-03</w:t>
            </w:r>
          </w:p>
        </w:tc>
        <w:tc>
          <w:tcPr>
            <w:tcW w:type="dxa" w:w="7460"/>
            <w:tcMar>
              <w:top w:type="dxa" w:w="60"/>
              <w:left w:type="dxa" w:w="90"/>
              <w:bottom w:type="dxa" w:w="60"/>
              <w:right w:type="dxa" w:w="90"/>
            </w:tcMar>
          </w:tcPr>
          <w:p>
            <w:pPr>
              <w:spacing w:after="20" w:line="250"/>
            </w:pPr>
            <w:r>
              <w:rPr>
                <w:color w:val="1A1A1A"/>
                <w:sz w:val="19"/>
                <w:szCs w:val="19"/>
              </w:rPr>
              <w:t xml:space="preserve">Route every variant to exactly one lane by a deterministic, auditable rule</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FR-04</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Classify coding VUS with a calibrated probability, abstention, and feature attributions</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Must</w:t>
            </w:r>
          </w:p>
        </w:tc>
      </w:tr>
      <w:tr>
        <w:tc>
          <w:tcPr>
            <w:tcW w:type="dxa" w:w="900"/>
            <w:tcMar>
              <w:top w:type="dxa" w:w="60"/>
              <w:left w:type="dxa" w:w="90"/>
              <w:bottom w:type="dxa" w:w="60"/>
              <w:right w:type="dxa" w:w="90"/>
            </w:tcMar>
          </w:tcPr>
          <w:p>
            <w:pPr>
              <w:spacing w:after="20" w:line="250"/>
            </w:pPr>
            <w:r>
              <w:rPr>
                <w:color w:val="1A1A1A"/>
                <w:sz w:val="19"/>
                <w:szCs w:val="19"/>
              </w:rPr>
              <w:t xml:space="preserve">FR-05</w:t>
            </w:r>
          </w:p>
        </w:tc>
        <w:tc>
          <w:tcPr>
            <w:tcW w:type="dxa" w:w="7460"/>
            <w:tcMar>
              <w:top w:type="dxa" w:w="60"/>
              <w:left w:type="dxa" w:w="90"/>
              <w:bottom w:type="dxa" w:w="60"/>
              <w:right w:type="dxa" w:w="90"/>
            </w:tcMar>
          </w:tcPr>
          <w:p>
            <w:pPr>
              <w:spacing w:after="20" w:line="250"/>
            </w:pPr>
            <w:r>
              <w:rPr>
                <w:color w:val="1A1A1A"/>
                <w:sz w:val="19"/>
                <w:szCs w:val="19"/>
              </w:rPr>
              <w:t xml:space="preserve">Flag efflux de-repression and promoter/intergenic effects</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FR-06</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Detect minority resistant subpopulations from VAF (heteroresistance)</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Must</w:t>
            </w:r>
          </w:p>
        </w:tc>
      </w:tr>
      <w:tr>
        <w:tc>
          <w:tcPr>
            <w:tcW w:type="dxa" w:w="900"/>
            <w:tcMar>
              <w:top w:type="dxa" w:w="60"/>
              <w:left w:type="dxa" w:w="90"/>
              <w:bottom w:type="dxa" w:w="60"/>
              <w:right w:type="dxa" w:w="90"/>
            </w:tcMar>
          </w:tcPr>
          <w:p>
            <w:pPr>
              <w:spacing w:after="20" w:line="250"/>
            </w:pPr>
            <w:r>
              <w:rPr>
                <w:color w:val="1A1A1A"/>
                <w:sz w:val="19"/>
                <w:szCs w:val="19"/>
              </w:rPr>
              <w:t xml:space="preserve">FR-07</w:t>
            </w:r>
          </w:p>
        </w:tc>
        <w:tc>
          <w:tcPr>
            <w:tcW w:type="dxa" w:w="7460"/>
            <w:tcMar>
              <w:top w:type="dxa" w:w="60"/>
              <w:left w:type="dxa" w:w="90"/>
              <w:bottom w:type="dxa" w:w="60"/>
              <w:right w:type="dxa" w:w="90"/>
            </w:tcMar>
          </w:tcPr>
          <w:p>
            <w:pPr>
              <w:spacing w:after="20" w:line="250"/>
            </w:pPr>
            <w:r>
              <w:rPr>
                <w:color w:val="1A1A1A"/>
                <w:sz w:val="19"/>
                <w:szCs w:val="19"/>
              </w:rPr>
              <w:t xml:space="preserve">Reconcile evidence and propose a guideline-aligned regimen</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FR-08</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Trigger the discovery loop automatically when no adequate regimen exists</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Must</w:t>
            </w:r>
          </w:p>
        </w:tc>
      </w:tr>
      <w:tr>
        <w:tc>
          <w:tcPr>
            <w:tcW w:type="dxa" w:w="900"/>
            <w:tcMar>
              <w:top w:type="dxa" w:w="60"/>
              <w:left w:type="dxa" w:w="90"/>
              <w:bottom w:type="dxa" w:w="60"/>
              <w:right w:type="dxa" w:w="90"/>
            </w:tcMar>
          </w:tcPr>
          <w:p>
            <w:pPr>
              <w:spacing w:after="20" w:line="250"/>
            </w:pPr>
            <w:r>
              <w:rPr>
                <w:color w:val="1A1A1A"/>
                <w:sz w:val="19"/>
                <w:szCs w:val="19"/>
              </w:rPr>
              <w:t xml:space="preserve">FR-09</w:t>
            </w:r>
          </w:p>
        </w:tc>
        <w:tc>
          <w:tcPr>
            <w:tcW w:type="dxa" w:w="7460"/>
            <w:tcMar>
              <w:top w:type="dxa" w:w="60"/>
              <w:left w:type="dxa" w:w="90"/>
              <w:bottom w:type="dxa" w:w="60"/>
              <w:right w:type="dxa" w:w="90"/>
            </w:tcMar>
          </w:tcPr>
          <w:p>
            <w:pPr>
              <w:spacing w:after="20" w:line="250"/>
            </w:pPr>
            <w:r>
              <w:rPr>
                <w:color w:val="1A1A1A"/>
                <w:sz w:val="19"/>
                <w:szCs w:val="19"/>
              </w:rPr>
              <w:t xml:space="preserve">Separate catalogued from predicted calls in all outputs</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FR-10</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Emit a human-readable report and a FHIR diagnostic bundle</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Must</w:t>
            </w:r>
          </w:p>
        </w:tc>
      </w:tr>
      <w:tr>
        <w:tc>
          <w:tcPr>
            <w:tcW w:type="dxa" w:w="900"/>
            <w:tcMar>
              <w:top w:type="dxa" w:w="60"/>
              <w:left w:type="dxa" w:w="90"/>
              <w:bottom w:type="dxa" w:w="60"/>
              <w:right w:type="dxa" w:w="90"/>
            </w:tcMar>
          </w:tcPr>
          <w:p>
            <w:pPr>
              <w:spacing w:after="20" w:line="250"/>
            </w:pPr>
            <w:r>
              <w:rPr>
                <w:color w:val="1A1A1A"/>
                <w:sz w:val="19"/>
                <w:szCs w:val="19"/>
              </w:rPr>
              <w:t xml:space="preserve">FR-11</w:t>
            </w:r>
          </w:p>
        </w:tc>
        <w:tc>
          <w:tcPr>
            <w:tcW w:type="dxa" w:w="7460"/>
            <w:tcMar>
              <w:top w:type="dxa" w:w="60"/>
              <w:left w:type="dxa" w:w="90"/>
              <w:bottom w:type="dxa" w:w="60"/>
              <w:right w:type="dxa" w:w="90"/>
            </w:tcMar>
          </w:tcPr>
          <w:p>
            <w:pPr>
              <w:spacing w:after="20" w:line="250"/>
            </w:pPr>
            <w:r>
              <w:rPr>
                <w:color w:val="1A1A1A"/>
                <w:sz w:val="19"/>
                <w:szCs w:val="19"/>
              </w:rPr>
              <w:t xml:space="preserve">Produce aggregate-only, de-identified shareable observations</w:t>
            </w:r>
          </w:p>
        </w:tc>
        <w:tc>
          <w:tcPr>
            <w:tcW w:type="dxa" w:w="1000"/>
            <w:tcMar>
              <w:top w:type="dxa" w:w="60"/>
              <w:left w:type="dxa" w:w="90"/>
              <w:bottom w:type="dxa" w:w="60"/>
              <w:right w:type="dxa" w:w="90"/>
            </w:tcMar>
          </w:tcPr>
          <w:p>
            <w:pPr>
              <w:spacing w:after="20" w:line="250"/>
            </w:pPr>
            <w:r>
              <w:rPr>
                <w:color w:val="1A1A1A"/>
                <w:sz w:val="19"/>
                <w:szCs w:val="19"/>
              </w:rPr>
              <w:t xml:space="preserve">Must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FR-12</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Promote variants to the catalogue on multi-site concordant evidence</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Should</w:t>
            </w:r>
          </w:p>
        </w:tc>
      </w:tr>
      <w:tr>
        <w:tc>
          <w:tcPr>
            <w:tcW w:type="dxa" w:w="900"/>
            <w:tcMar>
              <w:top w:type="dxa" w:w="60"/>
              <w:left w:type="dxa" w:w="90"/>
              <w:bottom w:type="dxa" w:w="60"/>
              <w:right w:type="dxa" w:w="90"/>
            </w:tcMar>
          </w:tcPr>
          <w:p>
            <w:pPr>
              <w:spacing w:after="20" w:line="250"/>
            </w:pPr>
            <w:r>
              <w:rPr>
                <w:color w:val="1A1A1A"/>
                <w:sz w:val="19"/>
                <w:szCs w:val="19"/>
              </w:rPr>
              <w:t xml:space="preserve">FR-13</w:t>
            </w:r>
          </w:p>
        </w:tc>
        <w:tc>
          <w:tcPr>
            <w:tcW w:type="dxa" w:w="7460"/>
            <w:tcMar>
              <w:top w:type="dxa" w:w="60"/>
              <w:left w:type="dxa" w:w="90"/>
              <w:bottom w:type="dxa" w:w="60"/>
              <w:right w:type="dxa" w:w="90"/>
            </w:tcMar>
          </w:tcPr>
          <w:p>
            <w:pPr>
              <w:spacing w:after="20" w:line="250"/>
            </w:pPr>
            <w:r>
              <w:rPr>
                <w:color w:val="1A1A1A"/>
                <w:sz w:val="19"/>
                <w:szCs w:val="19"/>
              </w:rPr>
              <w:t xml:space="preserve">Monitor predictive drift and raise an alarm below tolerance</w:t>
            </w:r>
          </w:p>
        </w:tc>
        <w:tc>
          <w:tcPr>
            <w:tcW w:type="dxa" w:w="1000"/>
            <w:tcMar>
              <w:top w:type="dxa" w:w="60"/>
              <w:left w:type="dxa" w:w="90"/>
              <w:bottom w:type="dxa" w:w="60"/>
              <w:right w:type="dxa" w:w="90"/>
            </w:tcMar>
          </w:tcPr>
          <w:p>
            <w:pPr>
              <w:spacing w:after="20" w:line="250"/>
            </w:pPr>
            <w:r>
              <w:rPr>
                <w:color w:val="1A1A1A"/>
                <w:sz w:val="19"/>
                <w:szCs w:val="19"/>
              </w:rPr>
              <w:t xml:space="preserve">Should</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FR-14</w:t>
            </w:r>
          </w:p>
        </w:tc>
        <w:tc>
          <w:tcPr>
            <w:tcW w:type="dxa" w:w="7460"/>
            <w:shd w:fill="F4F6F7" w:color="auto" w:val="clear"/>
            <w:tcMar>
              <w:top w:type="dxa" w:w="60"/>
              <w:left w:type="dxa" w:w="90"/>
              <w:bottom w:type="dxa" w:w="60"/>
              <w:right w:type="dxa" w:w="90"/>
            </w:tcMar>
          </w:tcPr>
          <w:p>
            <w:pPr>
              <w:spacing w:after="20" w:line="250"/>
            </w:pPr>
            <w:r>
              <w:rPr>
                <w:color w:val="1A1A1A"/>
                <w:sz w:val="19"/>
                <w:szCs w:val="19"/>
              </w:rPr>
              <w:t xml:space="preserve">Load organism support from a declarative profile</w:t>
            </w:r>
          </w:p>
        </w:tc>
        <w:tc>
          <w:tcPr>
            <w:tcW w:type="dxa" w:w="1000"/>
            <w:shd w:fill="F4F6F7" w:color="auto" w:val="clear"/>
            <w:tcMar>
              <w:top w:type="dxa" w:w="60"/>
              <w:left w:type="dxa" w:w="90"/>
              <w:bottom w:type="dxa" w:w="60"/>
              <w:right w:type="dxa" w:w="90"/>
            </w:tcMar>
          </w:tcPr>
          <w:p>
            <w:pPr>
              <w:spacing w:after="20" w:line="250"/>
            </w:pPr>
            <w:r>
              <w:rPr>
                <w:color w:val="1A1A1A"/>
                <w:sz w:val="19"/>
                <w:szCs w:val="19"/>
              </w:rPr>
              <w:t xml:space="preserve">Should</w:t>
            </w:r>
          </w:p>
        </w:tc>
      </w:tr>
      <w:tr>
        <w:tc>
          <w:tcPr>
            <w:tcW w:type="dxa" w:w="900"/>
            <w:tcMar>
              <w:top w:type="dxa" w:w="60"/>
              <w:left w:type="dxa" w:w="90"/>
              <w:bottom w:type="dxa" w:w="60"/>
              <w:right w:type="dxa" w:w="90"/>
            </w:tcMar>
          </w:tcPr>
          <w:p>
            <w:pPr>
              <w:spacing w:after="20" w:line="250"/>
            </w:pPr>
            <w:r>
              <w:rPr>
                <w:color w:val="1A1A1A"/>
                <w:sz w:val="19"/>
                <w:szCs w:val="19"/>
              </w:rPr>
              <w:t xml:space="preserve">FR-15</w:t>
            </w:r>
          </w:p>
        </w:tc>
        <w:tc>
          <w:tcPr>
            <w:tcW w:type="dxa" w:w="7460"/>
            <w:tcMar>
              <w:top w:type="dxa" w:w="60"/>
              <w:left w:type="dxa" w:w="90"/>
              <w:bottom w:type="dxa" w:w="60"/>
              <w:right w:type="dxa" w:w="90"/>
            </w:tcMar>
          </w:tcPr>
          <w:p>
            <w:pPr>
              <w:spacing w:after="20" w:line="250"/>
            </w:pPr>
            <w:r>
              <w:rPr>
                <w:color w:val="1A1A1A"/>
                <w:sz w:val="19"/>
                <w:szCs w:val="19"/>
              </w:rPr>
              <w:t xml:space="preserve">Detect acquired resistance genes and mobile context (extension profiles)</w:t>
            </w:r>
          </w:p>
        </w:tc>
        <w:tc>
          <w:tcPr>
            <w:tcW w:type="dxa" w:w="1000"/>
            <w:tcMar>
              <w:top w:type="dxa" w:w="60"/>
              <w:left w:type="dxa" w:w="90"/>
              <w:bottom w:type="dxa" w:w="60"/>
              <w:right w:type="dxa" w:w="90"/>
            </w:tcMar>
          </w:tcPr>
          <w:p>
            <w:pPr>
              <w:spacing w:after="20" w:line="250"/>
            </w:pPr>
            <w:r>
              <w:rPr>
                <w:color w:val="1A1A1A"/>
                <w:sz w:val="19"/>
                <w:szCs w:val="19"/>
              </w:rPr>
              <w:t xml:space="preserve">Could</w:t>
            </w:r>
          </w:p>
        </w:tc>
      </w:tr>
    </w:tbl>
    <w:p>
      <w:pPr>
        <w:pStyle w:val="Heading1"/>
        <w:spacing w:after="140" w:before="320"/>
      </w:pPr>
      <w:r>
        <w:rPr>
          <w:b/>
          <w:bCs/>
          <w:color w:val="2E5A6B"/>
          <w:sz w:val="30"/>
          <w:szCs w:val="30"/>
        </w:rPr>
        <w:t xml:space="preserve">22. Interfaces</w:t>
      </w:r>
    </w:p>
    <w:p>
      <w:pPr>
        <w:pStyle w:val="Heading2"/>
        <w:spacing w:after="100" w:before="240"/>
      </w:pPr>
      <w:r>
        <w:rPr>
          <w:b/>
          <w:bCs/>
          <w:color w:val="6E4B8A"/>
          <w:sz w:val="25"/>
          <w:szCs w:val="25"/>
        </w:rPr>
        <w:t xml:space="preserve">22.1 Command-line interface</w:t>
      </w:r>
    </w:p>
    <w:p>
      <w:pPr>
        <w:pStyle w:val="ListParagraph"/>
        <w:numPr>
          <w:ilvl w:val="0"/>
          <w:numId w:val="1"/>
        </w:numPr>
        <w:spacing w:after="60" w:line="264"/>
      </w:pPr>
      <w:r>
        <w:rPr>
          <w:rFonts w:ascii="Consolas" w:cs="Consolas" w:eastAsia="Consolas" w:hAnsi="Consolas"/>
          <w:color w:val="3A3A3A"/>
          <w:sz w:val="19"/>
          <w:szCs w:val="19"/>
        </w:rPr>
        <w:t xml:space="preserve">myconductor analyze &lt;input&gt; [--fhir out.json] [--depth-floor N]</w:t>
      </w:r>
    </w:p>
    <w:p>
      <w:pPr>
        <w:pStyle w:val="ListParagraph"/>
        <w:numPr>
          <w:ilvl w:val="0"/>
          <w:numId w:val="1"/>
        </w:numPr>
        <w:spacing w:after="60" w:line="264"/>
      </w:pPr>
      <w:r>
        <w:rPr>
          <w:rFonts w:ascii="Consolas" w:cs="Consolas" w:eastAsia="Consolas" w:hAnsi="Consolas"/>
          <w:color w:val="3A3A3A"/>
          <w:sz w:val="19"/>
          <w:szCs w:val="19"/>
        </w:rPr>
        <w:t xml:space="preserve">myconductor demo</w:t>
      </w:r>
    </w:p>
    <w:p>
      <w:pPr>
        <w:pStyle w:val="ListParagraph"/>
        <w:numPr>
          <w:ilvl w:val="0"/>
          <w:numId w:val="1"/>
        </w:numPr>
        <w:spacing w:after="60" w:line="264"/>
      </w:pPr>
      <w:r>
        <w:rPr>
          <w:rFonts w:ascii="Consolas" w:cs="Consolas" w:eastAsia="Consolas" w:hAnsi="Consolas"/>
          <w:color w:val="3A3A3A"/>
          <w:sz w:val="19"/>
          <w:szCs w:val="19"/>
        </w:rPr>
        <w:t xml:space="preserve">myconductor version</w:t>
      </w:r>
    </w:p>
    <w:p>
      <w:pPr>
        <w:pStyle w:val="Heading2"/>
        <w:spacing w:after="100" w:before="240"/>
      </w:pPr>
      <w:r>
        <w:rPr>
          <w:b/>
          <w:bCs/>
          <w:color w:val="6E4B8A"/>
          <w:sz w:val="25"/>
          <w:szCs w:val="25"/>
        </w:rPr>
        <w:t xml:space="preserve">22.2 Programmatic API</w:t>
      </w:r>
    </w:p>
    <w:p>
      <w:pPr>
        <w:spacing w:after="120" w:before="0" w:line="276"/>
      </w:pPr>
      <w:r>
        <w:rPr>
          <w:rFonts w:ascii="Consolas" w:cs="Consolas" w:eastAsia="Consolas" w:hAnsi="Consolas"/>
          <w:color w:val="3A3A3A"/>
          <w:sz w:val="19"/>
          <w:szCs w:val="19"/>
        </w:rPr>
        <w:t xml:space="preserve">from myconductor import Myconductor</w:t>
      </w:r>
      <w:r>
        <w:rPr>
          <w:color w:val="1A1A1A"/>
          <w:sz w:val="21"/>
          <w:szCs w:val="21"/>
        </w:rPr>
        <w:t xml:space="preserve">  →  </w:t>
      </w:r>
      <w:r>
        <w:rPr>
          <w:rFonts w:ascii="Consolas" w:cs="Consolas" w:eastAsia="Consolas" w:hAnsi="Consolas"/>
          <w:color w:val="3A3A3A"/>
          <w:sz w:val="19"/>
          <w:szCs w:val="19"/>
        </w:rPr>
        <w:t xml:space="preserve">Myconductor().analyze(path) → AnalysisReport</w:t>
      </w:r>
    </w:p>
    <w:p>
      <w:pPr>
        <w:pStyle w:val="Heading2"/>
        <w:spacing w:after="100" w:before="240"/>
      </w:pPr>
      <w:r>
        <w:rPr>
          <w:b/>
          <w:bCs/>
          <w:color w:val="6E4B8A"/>
          <w:sz w:val="25"/>
          <w:szCs w:val="25"/>
        </w:rPr>
        <w:t xml:space="preserve">22.3 Inputs and outputs</w:t>
      </w:r>
    </w:p>
    <w:p>
      <w:pPr>
        <w:pStyle w:val="ListParagraph"/>
        <w:numPr>
          <w:ilvl w:val="0"/>
          <w:numId w:val="1"/>
        </w:numPr>
        <w:spacing w:after="60" w:line="264"/>
      </w:pPr>
      <w:r>
        <w:rPr>
          <w:color w:val="1A1A1A"/>
          <w:sz w:val="21"/>
          <w:szCs w:val="21"/>
        </w:rPr>
        <w:t xml:space="preserve">Inputs: VCF (INFO GENE/AACHANGE/REGION/EFFECT, FORMAT AF/DP), TSV (gene, change, vaf, depth, region, silent), or JSON.</w:t>
      </w:r>
    </w:p>
    <w:p>
      <w:pPr>
        <w:pStyle w:val="ListParagraph"/>
        <w:numPr>
          <w:ilvl w:val="0"/>
          <w:numId w:val="1"/>
        </w:numPr>
        <w:spacing w:after="60" w:line="264"/>
      </w:pPr>
      <w:r>
        <w:rPr>
          <w:color w:val="1A1A1A"/>
          <w:sz w:val="21"/>
          <w:szCs w:val="21"/>
        </w:rPr>
        <w:t xml:space="preserve">Outputs: formatted text report; FHIR R4-style Bundle (DiagnosticReport + per-drug Observations + Provenance).</w:t>
      </w:r>
    </w:p>
    <w:p>
      <w:pPr>
        <w:pStyle w:val="Heading1"/>
        <w:spacing w:after="140" w:before="320"/>
      </w:pPr>
      <w:r>
        <w:rPr>
          <w:b/>
          <w:bCs/>
          <w:color w:val="2E5A6B"/>
          <w:sz w:val="30"/>
          <w:szCs w:val="30"/>
        </w:rPr>
        <w:t xml:space="preserve">23. Non-functional requirements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900"/>
        <w:gridCol w:w="1900"/>
        <w:gridCol w:w="6560"/>
      </w:tblGrid>
      <w:tr>
        <w:trPr>
          <w:tblHeader/>
        </w:trPr>
        <w:tc>
          <w:tcPr>
            <w:tcW w:type="dxa" w:w="900"/>
            <w:shd w:fill="E9EEF0" w:color="auto" w:val="clear"/>
            <w:tcMar>
              <w:top w:type="dxa" w:w="60"/>
              <w:left w:type="dxa" w:w="90"/>
              <w:bottom w:type="dxa" w:w="60"/>
              <w:right w:type="dxa" w:w="90"/>
            </w:tcMar>
          </w:tcPr>
          <w:p>
            <w:pPr>
              <w:spacing w:after="20" w:line="250"/>
            </w:pPr>
            <w:r>
              <w:rPr>
                <w:b/>
                <w:bCs/>
                <w:color w:val="1A1A1A"/>
                <w:sz w:val="19"/>
                <w:szCs w:val="19"/>
              </w:rPr>
              <w:t xml:space="preserve">ID</w:t>
            </w:r>
          </w:p>
        </w:tc>
        <w:tc>
          <w:tcPr>
            <w:tcW w:type="dxa" w:w="1900"/>
            <w:shd w:fill="E9EEF0" w:color="auto" w:val="clear"/>
            <w:tcMar>
              <w:top w:type="dxa" w:w="60"/>
              <w:left w:type="dxa" w:w="90"/>
              <w:bottom w:type="dxa" w:w="60"/>
              <w:right w:type="dxa" w:w="90"/>
            </w:tcMar>
          </w:tcPr>
          <w:p>
            <w:pPr>
              <w:spacing w:after="20" w:line="250"/>
            </w:pPr>
            <w:r>
              <w:rPr>
                <w:b/>
                <w:bCs/>
                <w:color w:val="1A1A1A"/>
                <w:sz w:val="19"/>
                <w:szCs w:val="19"/>
              </w:rPr>
              <w:t xml:space="preserve">Category</w:t>
            </w:r>
          </w:p>
        </w:tc>
        <w:tc>
          <w:tcPr>
            <w:tcW w:type="dxa" w:w="6560"/>
            <w:shd w:fill="E9EEF0" w:color="auto" w:val="clear"/>
            <w:tcMar>
              <w:top w:type="dxa" w:w="60"/>
              <w:left w:type="dxa" w:w="90"/>
              <w:bottom w:type="dxa" w:w="60"/>
              <w:right w:type="dxa" w:w="90"/>
            </w:tcMar>
          </w:tcPr>
          <w:p>
            <w:pPr>
              <w:spacing w:after="20" w:line="250"/>
            </w:pPr>
            <w:r>
              <w:rPr>
                <w:b/>
                <w:bCs/>
                <w:color w:val="1A1A1A"/>
                <w:sz w:val="19"/>
                <w:szCs w:val="19"/>
              </w:rPr>
              <w:t xml:space="preserve">Requirement</w:t>
            </w:r>
          </w:p>
        </w:tc>
      </w:tr>
      <w:tr>
        <w:tc>
          <w:tcPr>
            <w:tcW w:type="dxa" w:w="900"/>
            <w:tcMar>
              <w:top w:type="dxa" w:w="60"/>
              <w:left w:type="dxa" w:w="90"/>
              <w:bottom w:type="dxa" w:w="60"/>
              <w:right w:type="dxa" w:w="90"/>
            </w:tcMar>
          </w:tcPr>
          <w:p>
            <w:pPr>
              <w:spacing w:after="20" w:line="250"/>
            </w:pPr>
            <w:r>
              <w:rPr>
                <w:color w:val="1A1A1A"/>
                <w:sz w:val="19"/>
                <w:szCs w:val="19"/>
              </w:rPr>
              <w:t xml:space="preserve">NFR-01</w:t>
            </w:r>
          </w:p>
        </w:tc>
        <w:tc>
          <w:tcPr>
            <w:tcW w:type="dxa" w:w="1900"/>
            <w:tcMar>
              <w:top w:type="dxa" w:w="60"/>
              <w:left w:type="dxa" w:w="90"/>
              <w:bottom w:type="dxa" w:w="60"/>
              <w:right w:type="dxa" w:w="90"/>
            </w:tcMar>
          </w:tcPr>
          <w:p>
            <w:pPr>
              <w:spacing w:after="20" w:line="250"/>
            </w:pPr>
            <w:r>
              <w:rPr>
                <w:color w:val="1A1A1A"/>
                <w:sz w:val="19"/>
                <w:szCs w:val="19"/>
              </w:rPr>
              <w:t xml:space="preserve">Portability</w:t>
            </w:r>
          </w:p>
        </w:tc>
        <w:tc>
          <w:tcPr>
            <w:tcW w:type="dxa" w:w="6560"/>
            <w:tcMar>
              <w:top w:type="dxa" w:w="60"/>
              <w:left w:type="dxa" w:w="90"/>
              <w:bottom w:type="dxa" w:w="60"/>
              <w:right w:type="dxa" w:w="90"/>
            </w:tcMar>
          </w:tcPr>
          <w:p>
            <w:pPr>
              <w:spacing w:after="20" w:line="250"/>
            </w:pPr>
            <w:r>
              <w:rPr>
                <w:color w:val="1A1A1A"/>
                <w:sz w:val="19"/>
                <w:szCs w:val="19"/>
              </w:rPr>
              <w:t xml:space="preserve">Core runs on Python 3.9+ standard library with zero external runtime dependencies</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NFR-02</w:t>
            </w:r>
          </w:p>
        </w:tc>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Offline operation</w:t>
            </w:r>
          </w:p>
        </w:tc>
        <w:tc>
          <w:tcPr>
            <w:tcW w:type="dxa" w:w="6560"/>
            <w:shd w:fill="F4F6F7" w:color="auto" w:val="clear"/>
            <w:tcMar>
              <w:top w:type="dxa" w:w="60"/>
              <w:left w:type="dxa" w:w="90"/>
              <w:bottom w:type="dxa" w:w="60"/>
              <w:right w:type="dxa" w:w="90"/>
            </w:tcMar>
          </w:tcPr>
          <w:p>
            <w:pPr>
              <w:spacing w:after="20" w:line="250"/>
            </w:pPr>
            <w:r>
              <w:rPr>
                <w:color w:val="1A1A1A"/>
                <w:sz w:val="19"/>
                <w:szCs w:val="19"/>
              </w:rPr>
              <w:t xml:space="preserve">Full inference without network access (edge tier)</w:t>
            </w:r>
          </w:p>
        </w:tc>
      </w:tr>
      <w:tr>
        <w:tc>
          <w:tcPr>
            <w:tcW w:type="dxa" w:w="900"/>
            <w:tcMar>
              <w:top w:type="dxa" w:w="60"/>
              <w:left w:type="dxa" w:w="90"/>
              <w:bottom w:type="dxa" w:w="60"/>
              <w:right w:type="dxa" w:w="90"/>
            </w:tcMar>
          </w:tcPr>
          <w:p>
            <w:pPr>
              <w:spacing w:after="20" w:line="250"/>
            </w:pPr>
            <w:r>
              <w:rPr>
                <w:color w:val="1A1A1A"/>
                <w:sz w:val="19"/>
                <w:szCs w:val="19"/>
              </w:rPr>
              <w:t xml:space="preserve">NFR-03</w:t>
            </w:r>
          </w:p>
        </w:tc>
        <w:tc>
          <w:tcPr>
            <w:tcW w:type="dxa" w:w="1900"/>
            <w:tcMar>
              <w:top w:type="dxa" w:w="60"/>
              <w:left w:type="dxa" w:w="90"/>
              <w:bottom w:type="dxa" w:w="60"/>
              <w:right w:type="dxa" w:w="90"/>
            </w:tcMar>
          </w:tcPr>
          <w:p>
            <w:pPr>
              <w:spacing w:after="20" w:line="250"/>
            </w:pPr>
            <w:r>
              <w:rPr>
                <w:color w:val="1A1A1A"/>
                <w:sz w:val="19"/>
                <w:szCs w:val="19"/>
              </w:rPr>
              <w:t xml:space="preserve">Explainability</w:t>
            </w:r>
          </w:p>
        </w:tc>
        <w:tc>
          <w:tcPr>
            <w:tcW w:type="dxa" w:w="6560"/>
            <w:tcMar>
              <w:top w:type="dxa" w:w="60"/>
              <w:left w:type="dxa" w:w="90"/>
              <w:bottom w:type="dxa" w:w="60"/>
              <w:right w:type="dxa" w:w="90"/>
            </w:tcMar>
          </w:tcPr>
          <w:p>
            <w:pPr>
              <w:spacing w:after="20" w:line="250"/>
            </w:pPr>
            <w:r>
              <w:rPr>
                <w:color w:val="1A1A1A"/>
                <w:sz w:val="19"/>
                <w:szCs w:val="19"/>
              </w:rPr>
              <w:t xml:space="preserve">Every predicted call carries a human-readable rationale</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NFR-04</w:t>
            </w:r>
          </w:p>
        </w:tc>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Auditability</w:t>
            </w:r>
          </w:p>
        </w:tc>
        <w:tc>
          <w:tcPr>
            <w:tcW w:type="dxa" w:w="6560"/>
            <w:shd w:fill="F4F6F7" w:color="auto" w:val="clear"/>
            <w:tcMar>
              <w:top w:type="dxa" w:w="60"/>
              <w:left w:type="dxa" w:w="90"/>
              <w:bottom w:type="dxa" w:w="60"/>
              <w:right w:type="dxa" w:w="90"/>
            </w:tcMar>
          </w:tcPr>
          <w:p>
            <w:pPr>
              <w:spacing w:after="20" w:line="250"/>
            </w:pPr>
            <w:r>
              <w:rPr>
                <w:color w:val="1A1A1A"/>
                <w:sz w:val="19"/>
                <w:szCs w:val="19"/>
              </w:rPr>
              <w:t xml:space="preserve">Every report embeds tool, catalogue, and model versions plus thresholds</w:t>
            </w:r>
          </w:p>
        </w:tc>
      </w:tr>
      <w:tr>
        <w:tc>
          <w:tcPr>
            <w:tcW w:type="dxa" w:w="900"/>
            <w:tcMar>
              <w:top w:type="dxa" w:w="60"/>
              <w:left w:type="dxa" w:w="90"/>
              <w:bottom w:type="dxa" w:w="60"/>
              <w:right w:type="dxa" w:w="90"/>
            </w:tcMar>
          </w:tcPr>
          <w:p>
            <w:pPr>
              <w:spacing w:after="20" w:line="250"/>
            </w:pPr>
            <w:r>
              <w:rPr>
                <w:color w:val="1A1A1A"/>
                <w:sz w:val="19"/>
                <w:szCs w:val="19"/>
              </w:rPr>
              <w:t xml:space="preserve">NFR-05</w:t>
            </w:r>
          </w:p>
        </w:tc>
        <w:tc>
          <w:tcPr>
            <w:tcW w:type="dxa" w:w="1900"/>
            <w:tcMar>
              <w:top w:type="dxa" w:w="60"/>
              <w:left w:type="dxa" w:w="90"/>
              <w:bottom w:type="dxa" w:w="60"/>
              <w:right w:type="dxa" w:w="90"/>
            </w:tcMar>
          </w:tcPr>
          <w:p>
            <w:pPr>
              <w:spacing w:after="20" w:line="250"/>
            </w:pPr>
            <w:r>
              <w:rPr>
                <w:color w:val="1A1A1A"/>
                <w:sz w:val="19"/>
                <w:szCs w:val="19"/>
              </w:rPr>
              <w:t xml:space="preserve">Privacy</w:t>
            </w:r>
          </w:p>
        </w:tc>
        <w:tc>
          <w:tcPr>
            <w:tcW w:type="dxa" w:w="6560"/>
            <w:tcMar>
              <w:top w:type="dxa" w:w="60"/>
              <w:left w:type="dxa" w:w="90"/>
              <w:bottom w:type="dxa" w:w="60"/>
              <w:right w:type="dxa" w:w="90"/>
            </w:tcMar>
          </w:tcPr>
          <w:p>
            <w:pPr>
              <w:spacing w:after="20" w:line="250"/>
            </w:pPr>
            <w:r>
              <w:rPr>
                <w:color w:val="1A1A1A"/>
                <w:sz w:val="19"/>
                <w:szCs w:val="19"/>
              </w:rPr>
              <w:t xml:space="preserve">No patient identifiers or raw sequence in any shared artefact</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NFR-06</w:t>
            </w:r>
          </w:p>
        </w:tc>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Performance</w:t>
            </w:r>
          </w:p>
        </w:tc>
        <w:tc>
          <w:tcPr>
            <w:tcW w:type="dxa" w:w="6560"/>
            <w:shd w:fill="F4F6F7" w:color="auto" w:val="clear"/>
            <w:tcMar>
              <w:top w:type="dxa" w:w="60"/>
              <w:left w:type="dxa" w:w="90"/>
              <w:bottom w:type="dxa" w:w="60"/>
              <w:right w:type="dxa" w:w="90"/>
            </w:tcMar>
          </w:tcPr>
          <w:p>
            <w:pPr>
              <w:spacing w:after="20" w:line="250"/>
            </w:pPr>
            <w:r>
              <w:rPr>
                <w:color w:val="1A1A1A"/>
                <w:sz w:val="19"/>
                <w:szCs w:val="19"/>
              </w:rPr>
              <w:t xml:space="preserve">Per-isolate analysis completes in seconds on commodity hardware</w:t>
            </w:r>
          </w:p>
        </w:tc>
      </w:tr>
      <w:tr>
        <w:tc>
          <w:tcPr>
            <w:tcW w:type="dxa" w:w="900"/>
            <w:tcMar>
              <w:top w:type="dxa" w:w="60"/>
              <w:left w:type="dxa" w:w="90"/>
              <w:bottom w:type="dxa" w:w="60"/>
              <w:right w:type="dxa" w:w="90"/>
            </w:tcMar>
          </w:tcPr>
          <w:p>
            <w:pPr>
              <w:spacing w:after="20" w:line="250"/>
            </w:pPr>
            <w:r>
              <w:rPr>
                <w:color w:val="1A1A1A"/>
                <w:sz w:val="19"/>
                <w:szCs w:val="19"/>
              </w:rPr>
              <w:t xml:space="preserve">NFR-07</w:t>
            </w:r>
          </w:p>
        </w:tc>
        <w:tc>
          <w:tcPr>
            <w:tcW w:type="dxa" w:w="1900"/>
            <w:tcMar>
              <w:top w:type="dxa" w:w="60"/>
              <w:left w:type="dxa" w:w="90"/>
              <w:bottom w:type="dxa" w:w="60"/>
              <w:right w:type="dxa" w:w="90"/>
            </w:tcMar>
          </w:tcPr>
          <w:p>
            <w:pPr>
              <w:spacing w:after="20" w:line="250"/>
            </w:pPr>
            <w:r>
              <w:rPr>
                <w:color w:val="1A1A1A"/>
                <w:sz w:val="19"/>
                <w:szCs w:val="19"/>
              </w:rPr>
              <w:t xml:space="preserve">Extensibility</w:t>
            </w:r>
          </w:p>
        </w:tc>
        <w:tc>
          <w:tcPr>
            <w:tcW w:type="dxa" w:w="6560"/>
            <w:tcMar>
              <w:top w:type="dxa" w:w="60"/>
              <w:left w:type="dxa" w:w="90"/>
              <w:bottom w:type="dxa" w:w="60"/>
              <w:right w:type="dxa" w:w="90"/>
            </w:tcMar>
          </w:tcPr>
          <w:p>
            <w:pPr>
              <w:spacing w:after="20" w:line="250"/>
            </w:pPr>
            <w:r>
              <w:rPr>
                <w:color w:val="1A1A1A"/>
                <w:sz w:val="19"/>
                <w:szCs w:val="19"/>
              </w:rPr>
              <w:t xml:space="preserve">New lanes/profiles add without modifying the orchestration spine</w:t>
            </w:r>
          </w:p>
        </w:tc>
      </w:tr>
      <w:tr>
        <w:tc>
          <w:tcPr>
            <w:tcW w:type="dxa" w:w="900"/>
            <w:shd w:fill="F4F6F7" w:color="auto" w:val="clear"/>
            <w:tcMar>
              <w:top w:type="dxa" w:w="60"/>
              <w:left w:type="dxa" w:w="90"/>
              <w:bottom w:type="dxa" w:w="60"/>
              <w:right w:type="dxa" w:w="90"/>
            </w:tcMar>
          </w:tcPr>
          <w:p>
            <w:pPr>
              <w:spacing w:after="20" w:line="250"/>
            </w:pPr>
            <w:r>
              <w:rPr>
                <w:color w:val="1A1A1A"/>
                <w:sz w:val="19"/>
                <w:szCs w:val="19"/>
              </w:rPr>
              <w:t xml:space="preserve">NFR-08</w:t>
            </w:r>
          </w:p>
        </w:tc>
        <w:tc>
          <w:tcPr>
            <w:tcW w:type="dxa" w:w="1900"/>
            <w:shd w:fill="F4F6F7" w:color="auto" w:val="clear"/>
            <w:tcMar>
              <w:top w:type="dxa" w:w="60"/>
              <w:left w:type="dxa" w:w="90"/>
              <w:bottom w:type="dxa" w:w="60"/>
              <w:right w:type="dxa" w:w="90"/>
            </w:tcMar>
          </w:tcPr>
          <w:p>
            <w:pPr>
              <w:spacing w:after="20" w:line="250"/>
            </w:pPr>
            <w:r>
              <w:rPr>
                <w:color w:val="1A1A1A"/>
                <w:sz w:val="19"/>
                <w:szCs w:val="19"/>
              </w:rPr>
              <w:t xml:space="preserve">Safety</w:t>
            </w:r>
          </w:p>
        </w:tc>
        <w:tc>
          <w:tcPr>
            <w:tcW w:type="dxa" w:w="6560"/>
            <w:shd w:fill="F4F6F7" w:color="auto" w:val="clear"/>
            <w:tcMar>
              <w:top w:type="dxa" w:w="60"/>
              <w:left w:type="dxa" w:w="90"/>
              <w:bottom w:type="dxa" w:w="60"/>
              <w:right w:type="dxa" w:w="90"/>
            </w:tcMar>
          </w:tcPr>
          <w:p>
            <w:pPr>
              <w:spacing w:after="20" w:line="250"/>
            </w:pPr>
            <w:r>
              <w:rPr>
                <w:color w:val="1A1A1A"/>
                <w:sz w:val="19"/>
                <w:szCs w:val="19"/>
              </w:rPr>
              <w:t xml:space="preserve">Predicted calls are never presented as catalogued; models abstain near boundaries</w:t>
            </w:r>
          </w:p>
        </w:tc>
      </w:tr>
    </w:tbl>
    <w:p>
      <w:pPr>
        <w:pStyle w:val="Heading1"/>
        <w:spacing w:after="140" w:before="320"/>
      </w:pPr>
      <w:r>
        <w:rPr>
          <w:b/>
          <w:bCs/>
          <w:color w:val="2E5A6B"/>
          <w:sz w:val="30"/>
          <w:szCs w:val="30"/>
        </w:rPr>
        <w:t xml:space="preserve">24. Acceptance criteria and test strategy</w:t>
      </w:r>
    </w:p>
    <w:p>
      <w:pPr>
        <w:spacing w:after="120" w:before="0" w:line="276"/>
      </w:pPr>
      <w:r>
        <w:rPr>
          <w:color w:val="1A1A1A"/>
          <w:sz w:val="21"/>
          <w:szCs w:val="21"/>
        </w:rPr>
        <w:t xml:space="preserve">Acceptance is demonstrated by an automated test suite plus a runnable end-to-end demonstration. Representative criteria:</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5860"/>
        <w:gridCol w:w="3500"/>
      </w:tblGrid>
      <w:tr>
        <w:trPr>
          <w:tblHeader/>
        </w:trPr>
        <w:tc>
          <w:tcPr>
            <w:tcW w:type="dxa" w:w="5860"/>
            <w:shd w:fill="E9EEF0" w:color="auto" w:val="clear"/>
            <w:tcMar>
              <w:top w:type="dxa" w:w="60"/>
              <w:left w:type="dxa" w:w="90"/>
              <w:bottom w:type="dxa" w:w="60"/>
              <w:right w:type="dxa" w:w="90"/>
            </w:tcMar>
          </w:tcPr>
          <w:p>
            <w:pPr>
              <w:spacing w:after="20" w:line="250"/>
            </w:pPr>
            <w:r>
              <w:rPr>
                <w:b/>
                <w:bCs/>
                <w:color w:val="1A1A1A"/>
                <w:sz w:val="19"/>
                <w:szCs w:val="19"/>
              </w:rPr>
              <w:t xml:space="preserve">Criterion</w:t>
            </w:r>
          </w:p>
        </w:tc>
        <w:tc>
          <w:tcPr>
            <w:tcW w:type="dxa" w:w="3500"/>
            <w:shd w:fill="E9EEF0" w:color="auto" w:val="clear"/>
            <w:tcMar>
              <w:top w:type="dxa" w:w="60"/>
              <w:left w:type="dxa" w:w="90"/>
              <w:bottom w:type="dxa" w:w="60"/>
              <w:right w:type="dxa" w:w="90"/>
            </w:tcMar>
          </w:tcPr>
          <w:p>
            <w:pPr>
              <w:spacing w:after="20" w:line="250"/>
            </w:pPr>
            <w:r>
              <w:rPr>
                <w:b/>
                <w:bCs/>
                <w:color w:val="1A1A1A"/>
                <w:sz w:val="19"/>
                <w:szCs w:val="19"/>
              </w:rPr>
              <w:t xml:space="preserve">Verified by</w:t>
            </w:r>
          </w:p>
        </w:tc>
      </w:tr>
      <w:tr>
        <w:tc>
          <w:tcPr>
            <w:tcW w:type="dxa" w:w="5860"/>
            <w:tcMar>
              <w:top w:type="dxa" w:w="60"/>
              <w:left w:type="dxa" w:w="90"/>
              <w:bottom w:type="dxa" w:w="60"/>
              <w:right w:type="dxa" w:w="90"/>
            </w:tcMar>
          </w:tcPr>
          <w:p>
            <w:pPr>
              <w:spacing w:after="20" w:line="250"/>
            </w:pPr>
            <w:r>
              <w:rPr>
                <w:color w:val="1A1A1A"/>
                <w:sz w:val="19"/>
                <w:szCs w:val="19"/>
              </w:rPr>
              <w:t xml:space="preserve">Catalogued, VUS, efflux, and silent variants route to the correct lanes</w:t>
            </w:r>
          </w:p>
        </w:tc>
        <w:tc>
          <w:tcPr>
            <w:tcW w:type="dxa" w:w="3500"/>
            <w:tcMar>
              <w:top w:type="dxa" w:w="60"/>
              <w:left w:type="dxa" w:w="90"/>
              <w:bottom w:type="dxa" w:w="60"/>
              <w:right w:type="dxa" w:w="90"/>
            </w:tcMar>
          </w:tcPr>
          <w:p>
            <w:pPr>
              <w:spacing w:after="20" w:line="250"/>
            </w:pPr>
            <w:r>
              <w:rPr>
                <w:color w:val="1A1A1A"/>
                <w:sz w:val="19"/>
                <w:szCs w:val="19"/>
              </w:rPr>
              <w:t xml:space="preserve">Router unit tests</w:t>
            </w:r>
          </w:p>
        </w:tc>
      </w:tr>
      <w:tr>
        <w:tc>
          <w:tcPr>
            <w:tcW w:type="dxa" w:w="5860"/>
            <w:shd w:fill="F4F6F7" w:color="auto" w:val="clear"/>
            <w:tcMar>
              <w:top w:type="dxa" w:w="60"/>
              <w:left w:type="dxa" w:w="90"/>
              <w:bottom w:type="dxa" w:w="60"/>
              <w:right w:type="dxa" w:w="90"/>
            </w:tcMar>
          </w:tcPr>
          <w:p>
            <w:pPr>
              <w:spacing w:after="20" w:line="250"/>
            </w:pPr>
            <w:r>
              <w:rPr>
                <w:color w:val="1A1A1A"/>
                <w:sz w:val="19"/>
                <w:szCs w:val="19"/>
              </w:rPr>
              <w:t xml:space="preserve">Low-depth loci are dropped and reported, not called susceptible</w:t>
            </w:r>
          </w:p>
        </w:tc>
        <w:tc>
          <w:tcPr>
            <w:tcW w:type="dxa" w:w="3500"/>
            <w:shd w:fill="F4F6F7" w:color="auto" w:val="clear"/>
            <w:tcMar>
              <w:top w:type="dxa" w:w="60"/>
              <w:left w:type="dxa" w:w="90"/>
              <w:bottom w:type="dxa" w:w="60"/>
              <w:right w:type="dxa" w:w="90"/>
            </w:tcMar>
          </w:tcPr>
          <w:p>
            <w:pPr>
              <w:spacing w:after="20" w:line="250"/>
            </w:pPr>
            <w:r>
              <w:rPr>
                <w:color w:val="1A1A1A"/>
                <w:sz w:val="19"/>
                <w:szCs w:val="19"/>
              </w:rPr>
              <w:t xml:space="preserve">Adapter unit tests</w:t>
            </w:r>
          </w:p>
        </w:tc>
      </w:tr>
      <w:tr>
        <w:tc>
          <w:tcPr>
            <w:tcW w:type="dxa" w:w="5860"/>
            <w:tcMar>
              <w:top w:type="dxa" w:w="60"/>
              <w:left w:type="dxa" w:w="90"/>
              <w:bottom w:type="dxa" w:w="60"/>
              <w:right w:type="dxa" w:w="90"/>
            </w:tcMar>
          </w:tcPr>
          <w:p>
            <w:pPr>
              <w:spacing w:after="20" w:line="250"/>
            </w:pPr>
            <w:r>
              <w:rPr>
                <w:color w:val="1A1A1A"/>
                <w:sz w:val="19"/>
                <w:szCs w:val="19"/>
              </w:rPr>
              <w:t xml:space="preserve">First-line resistance is detected on the reference sample</w:t>
            </w:r>
          </w:p>
        </w:tc>
        <w:tc>
          <w:tcPr>
            <w:tcW w:type="dxa" w:w="3500"/>
            <w:tcMar>
              <w:top w:type="dxa" w:w="60"/>
              <w:left w:type="dxa" w:w="90"/>
              <w:bottom w:type="dxa" w:w="60"/>
              <w:right w:type="dxa" w:w="90"/>
            </w:tcMar>
          </w:tcPr>
          <w:p>
            <w:pPr>
              <w:spacing w:after="20" w:line="250"/>
            </w:pPr>
            <w:r>
              <w:rPr>
                <w:color w:val="1A1A1A"/>
                <w:sz w:val="19"/>
                <w:szCs w:val="19"/>
              </w:rPr>
              <w:t xml:space="preserve">Pipeline unit tests</w:t>
            </w:r>
          </w:p>
        </w:tc>
      </w:tr>
      <w:tr>
        <w:tc>
          <w:tcPr>
            <w:tcW w:type="dxa" w:w="5860"/>
            <w:shd w:fill="F4F6F7" w:color="auto" w:val="clear"/>
            <w:tcMar>
              <w:top w:type="dxa" w:w="60"/>
              <w:left w:type="dxa" w:w="90"/>
              <w:bottom w:type="dxa" w:w="60"/>
              <w:right w:type="dxa" w:w="90"/>
            </w:tcMar>
          </w:tcPr>
          <w:p>
            <w:pPr>
              <w:spacing w:after="20" w:line="250"/>
            </w:pPr>
            <w:r>
              <w:rPr>
                <w:color w:val="1A1A1A"/>
                <w:sz w:val="19"/>
                <w:szCs w:val="19"/>
              </w:rPr>
              <w:t xml:space="preserve">A minority resistant subpopulation is flagged</w:t>
            </w:r>
          </w:p>
        </w:tc>
        <w:tc>
          <w:tcPr>
            <w:tcW w:type="dxa" w:w="3500"/>
            <w:shd w:fill="F4F6F7" w:color="auto" w:val="clear"/>
            <w:tcMar>
              <w:top w:type="dxa" w:w="60"/>
              <w:left w:type="dxa" w:w="90"/>
              <w:bottom w:type="dxa" w:w="60"/>
              <w:right w:type="dxa" w:w="90"/>
            </w:tcMar>
          </w:tcPr>
          <w:p>
            <w:pPr>
              <w:spacing w:after="20" w:line="250"/>
            </w:pPr>
            <w:r>
              <w:rPr>
                <w:color w:val="1A1A1A"/>
                <w:sz w:val="19"/>
                <w:szCs w:val="19"/>
              </w:rPr>
              <w:t xml:space="preserve">Pipeline unit tests</w:t>
            </w:r>
          </w:p>
        </w:tc>
      </w:tr>
      <w:tr>
        <w:tc>
          <w:tcPr>
            <w:tcW w:type="dxa" w:w="5860"/>
            <w:tcMar>
              <w:top w:type="dxa" w:w="60"/>
              <w:left w:type="dxa" w:w="90"/>
              <w:bottom w:type="dxa" w:w="60"/>
              <w:right w:type="dxa" w:w="90"/>
            </w:tcMar>
          </w:tcPr>
          <w:p>
            <w:pPr>
              <w:spacing w:after="20" w:line="250"/>
            </w:pPr>
            <w:r>
              <w:rPr>
                <w:color w:val="1A1A1A"/>
                <w:sz w:val="19"/>
                <w:szCs w:val="19"/>
              </w:rPr>
              <w:t xml:space="preserve">An inadequate regimen triggers the discovery loop</w:t>
            </w:r>
          </w:p>
        </w:tc>
        <w:tc>
          <w:tcPr>
            <w:tcW w:type="dxa" w:w="3500"/>
            <w:tcMar>
              <w:top w:type="dxa" w:w="60"/>
              <w:left w:type="dxa" w:w="90"/>
              <w:bottom w:type="dxa" w:w="60"/>
              <w:right w:type="dxa" w:w="90"/>
            </w:tcMar>
          </w:tcPr>
          <w:p>
            <w:pPr>
              <w:spacing w:after="20" w:line="250"/>
            </w:pPr>
            <w:r>
              <w:rPr>
                <w:color w:val="1A1A1A"/>
                <w:sz w:val="19"/>
                <w:szCs w:val="19"/>
              </w:rPr>
              <w:t xml:space="preserve">Pipeline unit tests</w:t>
            </w:r>
          </w:p>
        </w:tc>
      </w:tr>
      <w:tr>
        <w:tc>
          <w:tcPr>
            <w:tcW w:type="dxa" w:w="5860"/>
            <w:shd w:fill="F4F6F7" w:color="auto" w:val="clear"/>
            <w:tcMar>
              <w:top w:type="dxa" w:w="60"/>
              <w:left w:type="dxa" w:w="90"/>
              <w:bottom w:type="dxa" w:w="60"/>
              <w:right w:type="dxa" w:w="90"/>
            </w:tcMar>
          </w:tcPr>
          <w:p>
            <w:pPr>
              <w:spacing w:after="20" w:line="250"/>
            </w:pPr>
            <w:r>
              <w:rPr>
                <w:color w:val="1A1A1A"/>
                <w:sz w:val="19"/>
                <w:szCs w:val="19"/>
              </w:rPr>
              <w:t xml:space="preserve">Predicted calls are emitted as preliminary in FHIR</w:t>
            </w:r>
          </w:p>
        </w:tc>
        <w:tc>
          <w:tcPr>
            <w:tcW w:type="dxa" w:w="3500"/>
            <w:shd w:fill="F4F6F7" w:color="auto" w:val="clear"/>
            <w:tcMar>
              <w:top w:type="dxa" w:w="60"/>
              <w:left w:type="dxa" w:w="90"/>
              <w:bottom w:type="dxa" w:w="60"/>
              <w:right w:type="dxa" w:w="90"/>
            </w:tcMar>
          </w:tcPr>
          <w:p>
            <w:pPr>
              <w:spacing w:after="20" w:line="250"/>
            </w:pPr>
            <w:r>
              <w:rPr>
                <w:color w:val="1A1A1A"/>
                <w:sz w:val="19"/>
                <w:szCs w:val="19"/>
              </w:rPr>
              <w:t xml:space="preserve">Pipeline unit tests</w:t>
            </w:r>
          </w:p>
        </w:tc>
      </w:tr>
      <w:tr>
        <w:tc>
          <w:tcPr>
            <w:tcW w:type="dxa" w:w="5860"/>
            <w:tcMar>
              <w:top w:type="dxa" w:w="60"/>
              <w:left w:type="dxa" w:w="90"/>
              <w:bottom w:type="dxa" w:w="60"/>
              <w:right w:type="dxa" w:w="90"/>
            </w:tcMar>
          </w:tcPr>
          <w:p>
            <w:pPr>
              <w:spacing w:after="20" w:line="250"/>
            </w:pPr>
            <w:r>
              <w:rPr>
                <w:color w:val="1A1A1A"/>
                <w:sz w:val="19"/>
                <w:szCs w:val="19"/>
              </w:rPr>
              <w:t xml:space="preserve">Federated aggregation, promotion, and drift alarm behave correctly</w:t>
            </w:r>
          </w:p>
        </w:tc>
        <w:tc>
          <w:tcPr>
            <w:tcW w:type="dxa" w:w="3500"/>
            <w:tcMar>
              <w:top w:type="dxa" w:w="60"/>
              <w:left w:type="dxa" w:w="90"/>
              <w:bottom w:type="dxa" w:w="60"/>
              <w:right w:type="dxa" w:w="90"/>
            </w:tcMar>
          </w:tcPr>
          <w:p>
            <w:pPr>
              <w:spacing w:after="20" w:line="250"/>
            </w:pPr>
            <w:r>
              <w:rPr>
                <w:color w:val="1A1A1A"/>
                <w:sz w:val="19"/>
                <w:szCs w:val="19"/>
              </w:rPr>
              <w:t xml:space="preserve">Federated unit tests</w:t>
            </w:r>
          </w:p>
        </w:tc>
      </w:tr>
    </w:tbl>
    <w:p>
      <w:pPr>
        <w:pStyle w:val="Heading1"/>
        <w:spacing w:after="140" w:before="320"/>
      </w:pPr>
      <w:r>
        <w:rPr>
          <w:b/>
          <w:bCs/>
          <w:color w:val="2E5A6B"/>
          <w:sz w:val="30"/>
          <w:szCs w:val="30"/>
        </w:rPr>
        <w:t xml:space="preserve">25. Roadmap</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3000"/>
        <w:gridCol w:w="6360"/>
      </w:tblGrid>
      <w:tr>
        <w:trPr>
          <w:tblHeader/>
        </w:trPr>
        <w:tc>
          <w:tcPr>
            <w:tcW w:type="dxa" w:w="3000"/>
            <w:shd w:fill="E9EEF0" w:color="auto" w:val="clear"/>
            <w:tcMar>
              <w:top w:type="dxa" w:w="60"/>
              <w:left w:type="dxa" w:w="90"/>
              <w:bottom w:type="dxa" w:w="60"/>
              <w:right w:type="dxa" w:w="90"/>
            </w:tcMar>
          </w:tcPr>
          <w:p>
            <w:pPr>
              <w:spacing w:after="20" w:line="250"/>
            </w:pPr>
            <w:r>
              <w:rPr>
                <w:b/>
                <w:bCs/>
                <w:color w:val="1A1A1A"/>
                <w:sz w:val="19"/>
                <w:szCs w:val="19"/>
              </w:rPr>
              <w:t xml:space="preserve">Milestone</w:t>
            </w:r>
          </w:p>
        </w:tc>
        <w:tc>
          <w:tcPr>
            <w:tcW w:type="dxa" w:w="6360"/>
            <w:shd w:fill="E9EEF0" w:color="auto" w:val="clear"/>
            <w:tcMar>
              <w:top w:type="dxa" w:w="60"/>
              <w:left w:type="dxa" w:w="90"/>
              <w:bottom w:type="dxa" w:w="60"/>
              <w:right w:type="dxa" w:w="90"/>
            </w:tcMar>
          </w:tcPr>
          <w:p>
            <w:pPr>
              <w:spacing w:after="20" w:line="250"/>
            </w:pPr>
            <w:r>
              <w:rPr>
                <w:b/>
                <w:bCs/>
                <w:color w:val="1A1A1A"/>
                <w:sz w:val="19"/>
                <w:szCs w:val="19"/>
              </w:rPr>
              <w:t xml:space="preserve">Content</w:t>
            </w:r>
          </w:p>
        </w:tc>
      </w:tr>
      <w:tr>
        <w:tc>
          <w:tcPr>
            <w:tcW w:type="dxa" w:w="3000"/>
            <w:tcMar>
              <w:top w:type="dxa" w:w="60"/>
              <w:left w:type="dxa" w:w="90"/>
              <w:bottom w:type="dxa" w:w="60"/>
              <w:right w:type="dxa" w:w="90"/>
            </w:tcMar>
          </w:tcPr>
          <w:p>
            <w:pPr>
              <w:spacing w:after="20" w:line="250"/>
            </w:pPr>
            <w:r>
              <w:rPr>
                <w:color w:val="1A1A1A"/>
                <w:sz w:val="19"/>
                <w:szCs w:val="19"/>
              </w:rPr>
              <w:t xml:space="preserve">M1 — Reference profile hardening</w:t>
            </w:r>
          </w:p>
        </w:tc>
        <w:tc>
          <w:tcPr>
            <w:tcW w:type="dxa" w:w="6360"/>
            <w:tcMar>
              <w:top w:type="dxa" w:w="60"/>
              <w:left w:type="dxa" w:w="90"/>
              <w:bottom w:type="dxa" w:w="60"/>
              <w:right w:type="dxa" w:w="90"/>
            </w:tcMar>
          </w:tcPr>
          <w:p>
            <w:pPr>
              <w:spacing w:after="20" w:line="250"/>
            </w:pPr>
            <w:r>
              <w:rPr>
                <w:color w:val="1A1A1A"/>
                <w:sz w:val="19"/>
                <w:szCs w:val="19"/>
              </w:rPr>
              <w:t xml:space="preserve">Full WHO catalogue ingestion; trained VUS estimator with calibration; silent evaluation</w:t>
            </w:r>
          </w:p>
        </w:tc>
      </w:tr>
      <w:tr>
        <w:tc>
          <w:tcPr>
            <w:tcW w:type="dxa" w:w="3000"/>
            <w:shd w:fill="F4F6F7" w:color="auto" w:val="clear"/>
            <w:tcMar>
              <w:top w:type="dxa" w:w="60"/>
              <w:left w:type="dxa" w:w="90"/>
              <w:bottom w:type="dxa" w:w="60"/>
              <w:right w:type="dxa" w:w="90"/>
            </w:tcMar>
          </w:tcPr>
          <w:p>
            <w:pPr>
              <w:spacing w:after="20" w:line="250"/>
            </w:pPr>
            <w:r>
              <w:rPr>
                <w:color w:val="1A1A1A"/>
                <w:sz w:val="19"/>
                <w:szCs w:val="19"/>
              </w:rPr>
              <w:t xml:space="preserve">M2 — Federation</w:t>
            </w:r>
          </w:p>
        </w:tc>
        <w:tc>
          <w:tcPr>
            <w:tcW w:type="dxa" w:w="6360"/>
            <w:shd w:fill="F4F6F7" w:color="auto" w:val="clear"/>
            <w:tcMar>
              <w:top w:type="dxa" w:w="60"/>
              <w:left w:type="dxa" w:w="90"/>
              <w:bottom w:type="dxa" w:w="60"/>
              <w:right w:type="dxa" w:w="90"/>
            </w:tcMar>
          </w:tcPr>
          <w:p>
            <w:pPr>
              <w:spacing w:after="20" w:line="250"/>
            </w:pPr>
            <w:r>
              <w:rPr>
                <w:color w:val="1A1A1A"/>
                <w:sz w:val="19"/>
                <w:szCs w:val="19"/>
              </w:rPr>
              <w:t xml:space="preserve">Secure aggregation transport; multi-site promotion governance; drift dashboards</w:t>
            </w:r>
          </w:p>
        </w:tc>
      </w:tr>
      <w:tr>
        <w:tc>
          <w:tcPr>
            <w:tcW w:type="dxa" w:w="3000"/>
            <w:tcMar>
              <w:top w:type="dxa" w:w="60"/>
              <w:left w:type="dxa" w:w="90"/>
              <w:bottom w:type="dxa" w:w="60"/>
              <w:right w:type="dxa" w:w="90"/>
            </w:tcMar>
          </w:tcPr>
          <w:p>
            <w:pPr>
              <w:spacing w:after="20" w:line="250"/>
            </w:pPr>
            <w:r>
              <w:rPr>
                <w:color w:val="1A1A1A"/>
                <w:sz w:val="19"/>
                <w:szCs w:val="19"/>
              </w:rPr>
              <w:t xml:space="preserve">M3 — Engine/profile split</w:t>
            </w:r>
          </w:p>
        </w:tc>
        <w:tc>
          <w:tcPr>
            <w:tcW w:type="dxa" w:w="6360"/>
            <w:tcMar>
              <w:top w:type="dxa" w:w="60"/>
              <w:left w:type="dxa" w:w="90"/>
              <w:bottom w:type="dxa" w:w="60"/>
              <w:right w:type="dxa" w:w="90"/>
            </w:tcMar>
          </w:tcPr>
          <w:p>
            <w:pPr>
              <w:spacing w:after="20" w:line="250"/>
            </w:pPr>
            <w:r>
              <w:rPr>
                <w:color w:val="1A1A1A"/>
                <w:sz w:val="19"/>
                <w:szCs w:val="19"/>
              </w:rPr>
              <w:t xml:space="preserve">Neutral engine core; mycobacterial profile as a distribution; profile SDK</w:t>
            </w:r>
          </w:p>
        </w:tc>
      </w:tr>
      <w:tr>
        <w:tc>
          <w:tcPr>
            <w:tcW w:type="dxa" w:w="3000"/>
            <w:shd w:fill="F4F6F7" w:color="auto" w:val="clear"/>
            <w:tcMar>
              <w:top w:type="dxa" w:w="60"/>
              <w:left w:type="dxa" w:w="90"/>
              <w:bottom w:type="dxa" w:w="60"/>
              <w:right w:type="dxa" w:w="90"/>
            </w:tcMar>
          </w:tcPr>
          <w:p>
            <w:pPr>
              <w:spacing w:after="20" w:line="250"/>
            </w:pPr>
            <w:r>
              <w:rPr>
                <w:color w:val="1A1A1A"/>
                <w:sz w:val="19"/>
                <w:szCs w:val="19"/>
              </w:rPr>
              <w:t xml:space="preserve">M4 — Extension profile</w:t>
            </w:r>
          </w:p>
        </w:tc>
        <w:tc>
          <w:tcPr>
            <w:tcW w:type="dxa" w:w="6360"/>
            <w:shd w:fill="F4F6F7" w:color="auto" w:val="clear"/>
            <w:tcMar>
              <w:top w:type="dxa" w:w="60"/>
              <w:left w:type="dxa" w:w="90"/>
              <w:bottom w:type="dxa" w:w="60"/>
              <w:right w:type="dxa" w:w="90"/>
            </w:tcMar>
          </w:tcPr>
          <w:p>
            <w:pPr>
              <w:spacing w:after="20" w:line="250"/>
            </w:pPr>
            <w:r>
              <w:rPr>
                <w:color w:val="1A1A1A"/>
                <w:sz w:val="19"/>
                <w:szCs w:val="19"/>
              </w:rPr>
              <w:t xml:space="preserve">Enterobacterales profile with acquired-gene lane and mobile-element context</w:t>
            </w:r>
          </w:p>
        </w:tc>
      </w:tr>
      <w:tr>
        <w:tc>
          <w:tcPr>
            <w:tcW w:type="dxa" w:w="3000"/>
            <w:tcMar>
              <w:top w:type="dxa" w:w="60"/>
              <w:left w:type="dxa" w:w="90"/>
              <w:bottom w:type="dxa" w:w="60"/>
              <w:right w:type="dxa" w:w="90"/>
            </w:tcMar>
          </w:tcPr>
          <w:p>
            <w:pPr>
              <w:spacing w:after="20" w:line="250"/>
            </w:pPr>
            <w:r>
              <w:rPr>
                <w:color w:val="1A1A1A"/>
                <w:sz w:val="19"/>
                <w:szCs w:val="19"/>
              </w:rPr>
              <w:t xml:space="preserve">M5 — Clinical integration</w:t>
            </w:r>
          </w:p>
        </w:tc>
        <w:tc>
          <w:tcPr>
            <w:tcW w:type="dxa" w:w="6360"/>
            <w:tcMar>
              <w:top w:type="dxa" w:w="60"/>
              <w:left w:type="dxa" w:w="90"/>
              <w:bottom w:type="dxa" w:w="60"/>
              <w:right w:type="dxa" w:w="90"/>
            </w:tcMar>
          </w:tcPr>
          <w:p>
            <w:pPr>
              <w:spacing w:after="20" w:line="250"/>
            </w:pPr>
            <w:r>
              <w:rPr>
                <w:color w:val="1A1A1A"/>
                <w:sz w:val="19"/>
                <w:szCs w:val="19"/>
              </w:rPr>
              <w:t xml:space="preserve">LIMS/EHR connectors; prospective evaluation; regulatory engagement</w:t>
            </w:r>
          </w:p>
        </w:tc>
      </w:tr>
    </w:tbl>
    <w:p>
      <w:r>
        <w:br w:type="page"/>
      </w:r>
    </w:p>
    <w:p>
      <w:pPr>
        <w:pStyle w:val="Heading1"/>
        <w:spacing w:after="140" w:before="320"/>
      </w:pPr>
      <w:r>
        <w:rPr>
          <w:b/>
          <w:bCs/>
          <w:color w:val="2E5A6B"/>
          <w:sz w:val="30"/>
          <w:szCs w:val="30"/>
        </w:rPr>
        <w:t xml:space="preserve">Appendix A. Abbreviations</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2400"/>
        <w:gridCol w:w="6960"/>
      </w:tblGrid>
      <w:tr>
        <w:trPr>
          <w:tblHeader/>
        </w:trPr>
        <w:tc>
          <w:tcPr>
            <w:tcW w:type="dxa" w:w="2400"/>
            <w:shd w:fill="E9EEF0" w:color="auto" w:val="clear"/>
            <w:tcMar>
              <w:top w:type="dxa" w:w="60"/>
              <w:left w:type="dxa" w:w="90"/>
              <w:bottom w:type="dxa" w:w="60"/>
              <w:right w:type="dxa" w:w="90"/>
            </w:tcMar>
          </w:tcPr>
          <w:p>
            <w:pPr>
              <w:spacing w:after="20" w:line="250"/>
            </w:pPr>
            <w:r>
              <w:rPr>
                <w:b/>
                <w:bCs/>
                <w:color w:val="1A1A1A"/>
                <w:sz w:val="19"/>
                <w:szCs w:val="19"/>
              </w:rPr>
              <w:t xml:space="preserve">Term</w:t>
            </w:r>
          </w:p>
        </w:tc>
        <w:tc>
          <w:tcPr>
            <w:tcW w:type="dxa" w:w="6960"/>
            <w:shd w:fill="E9EEF0" w:color="auto" w:val="clear"/>
            <w:tcMar>
              <w:top w:type="dxa" w:w="60"/>
              <w:left w:type="dxa" w:w="90"/>
              <w:bottom w:type="dxa" w:w="60"/>
              <w:right w:type="dxa" w:w="90"/>
            </w:tcMar>
          </w:tcPr>
          <w:p>
            <w:pPr>
              <w:spacing w:after="20" w:line="250"/>
            </w:pPr>
            <w:r>
              <w:rPr>
                <w:b/>
                <w:bCs/>
                <w:color w:val="1A1A1A"/>
                <w:sz w:val="19"/>
                <w:szCs w:val="19"/>
              </w:rPr>
              <w:t xml:space="preserve">Meaning</w:t>
            </w:r>
          </w:p>
        </w:tc>
      </w:tr>
      <w:tr>
        <w:tc>
          <w:tcPr>
            <w:tcW w:type="dxa" w:w="2400"/>
            <w:tcMar>
              <w:top w:type="dxa" w:w="60"/>
              <w:left w:type="dxa" w:w="90"/>
              <w:bottom w:type="dxa" w:w="60"/>
              <w:right w:type="dxa" w:w="90"/>
            </w:tcMar>
          </w:tcPr>
          <w:p>
            <w:pPr>
              <w:spacing w:after="20" w:line="250"/>
            </w:pPr>
            <w:r>
              <w:rPr>
                <w:color w:val="1A1A1A"/>
                <w:sz w:val="19"/>
                <w:szCs w:val="19"/>
              </w:rPr>
              <w:t xml:space="preserve">AMR</w:t>
            </w:r>
          </w:p>
        </w:tc>
        <w:tc>
          <w:tcPr>
            <w:tcW w:type="dxa" w:w="6960"/>
            <w:tcMar>
              <w:top w:type="dxa" w:w="60"/>
              <w:left w:type="dxa" w:w="90"/>
              <w:bottom w:type="dxa" w:w="60"/>
              <w:right w:type="dxa" w:w="90"/>
            </w:tcMar>
          </w:tcPr>
          <w:p>
            <w:pPr>
              <w:spacing w:after="20" w:line="250"/>
            </w:pPr>
            <w:r>
              <w:rPr>
                <w:color w:val="1A1A1A"/>
                <w:sz w:val="19"/>
                <w:szCs w:val="19"/>
              </w:rPr>
              <w:t xml:space="preserve">Antimicrobial resistance</w:t>
            </w:r>
          </w:p>
        </w:tc>
      </w:tr>
      <w:tr>
        <w:tc>
          <w:tcPr>
            <w:tcW w:type="dxa" w:w="2400"/>
            <w:shd w:fill="F4F6F7" w:color="auto" w:val="clear"/>
            <w:tcMar>
              <w:top w:type="dxa" w:w="60"/>
              <w:left w:type="dxa" w:w="90"/>
              <w:bottom w:type="dxa" w:w="60"/>
              <w:right w:type="dxa" w:w="90"/>
            </w:tcMar>
          </w:tcPr>
          <w:p>
            <w:pPr>
              <w:spacing w:after="20" w:line="250"/>
            </w:pPr>
            <w:r>
              <w:rPr>
                <w:color w:val="1A1A1A"/>
                <w:sz w:val="19"/>
                <w:szCs w:val="19"/>
              </w:rPr>
              <w:t xml:space="preserve">VUS</w:t>
            </w:r>
          </w:p>
        </w:tc>
        <w:tc>
          <w:tcPr>
            <w:tcW w:type="dxa" w:w="6960"/>
            <w:shd w:fill="F4F6F7" w:color="auto" w:val="clear"/>
            <w:tcMar>
              <w:top w:type="dxa" w:w="60"/>
              <w:left w:type="dxa" w:w="90"/>
              <w:bottom w:type="dxa" w:w="60"/>
              <w:right w:type="dxa" w:w="90"/>
            </w:tcMar>
          </w:tcPr>
          <w:p>
            <w:pPr>
              <w:spacing w:after="20" w:line="250"/>
            </w:pPr>
            <w:r>
              <w:rPr>
                <w:color w:val="1A1A1A"/>
                <w:sz w:val="19"/>
                <w:szCs w:val="19"/>
              </w:rPr>
              <w:t xml:space="preserve">Variant of unknown significance</w:t>
            </w:r>
          </w:p>
        </w:tc>
      </w:tr>
      <w:tr>
        <w:tc>
          <w:tcPr>
            <w:tcW w:type="dxa" w:w="2400"/>
            <w:tcMar>
              <w:top w:type="dxa" w:w="60"/>
              <w:left w:type="dxa" w:w="90"/>
              <w:bottom w:type="dxa" w:w="60"/>
              <w:right w:type="dxa" w:w="90"/>
            </w:tcMar>
          </w:tcPr>
          <w:p>
            <w:pPr>
              <w:spacing w:after="20" w:line="250"/>
            </w:pPr>
            <w:r>
              <w:rPr>
                <w:color w:val="1A1A1A"/>
                <w:sz w:val="19"/>
                <w:szCs w:val="19"/>
              </w:rPr>
              <w:t xml:space="preserve">VAF</w:t>
            </w:r>
          </w:p>
        </w:tc>
        <w:tc>
          <w:tcPr>
            <w:tcW w:type="dxa" w:w="6960"/>
            <w:tcMar>
              <w:top w:type="dxa" w:w="60"/>
              <w:left w:type="dxa" w:w="90"/>
              <w:bottom w:type="dxa" w:w="60"/>
              <w:right w:type="dxa" w:w="90"/>
            </w:tcMar>
          </w:tcPr>
          <w:p>
            <w:pPr>
              <w:spacing w:after="20" w:line="250"/>
            </w:pPr>
            <w:r>
              <w:rPr>
                <w:color w:val="1A1A1A"/>
                <w:sz w:val="19"/>
                <w:szCs w:val="19"/>
              </w:rPr>
              <w:t xml:space="preserve">Variant allele frequency</w:t>
            </w:r>
          </w:p>
        </w:tc>
      </w:tr>
      <w:tr>
        <w:tc>
          <w:tcPr>
            <w:tcW w:type="dxa" w:w="2400"/>
            <w:shd w:fill="F4F6F7" w:color="auto" w:val="clear"/>
            <w:tcMar>
              <w:top w:type="dxa" w:w="60"/>
              <w:left w:type="dxa" w:w="90"/>
              <w:bottom w:type="dxa" w:w="60"/>
              <w:right w:type="dxa" w:w="90"/>
            </w:tcMar>
          </w:tcPr>
          <w:p>
            <w:pPr>
              <w:spacing w:after="20" w:line="250"/>
            </w:pPr>
            <w:r>
              <w:rPr>
                <w:color w:val="1A1A1A"/>
                <w:sz w:val="19"/>
                <w:szCs w:val="19"/>
              </w:rPr>
              <w:t xml:space="preserve">DST</w:t>
            </w:r>
          </w:p>
        </w:tc>
        <w:tc>
          <w:tcPr>
            <w:tcW w:type="dxa" w:w="6960"/>
            <w:shd w:fill="F4F6F7" w:color="auto" w:val="clear"/>
            <w:tcMar>
              <w:top w:type="dxa" w:w="60"/>
              <w:left w:type="dxa" w:w="90"/>
              <w:bottom w:type="dxa" w:w="60"/>
              <w:right w:type="dxa" w:w="90"/>
            </w:tcMar>
          </w:tcPr>
          <w:p>
            <w:pPr>
              <w:spacing w:after="20" w:line="250"/>
            </w:pPr>
            <w:r>
              <w:rPr>
                <w:color w:val="1A1A1A"/>
                <w:sz w:val="19"/>
                <w:szCs w:val="19"/>
              </w:rPr>
              <w:t xml:space="preserve">Drug-susceptibility testing</w:t>
            </w:r>
          </w:p>
        </w:tc>
      </w:tr>
      <w:tr>
        <w:tc>
          <w:tcPr>
            <w:tcW w:type="dxa" w:w="2400"/>
            <w:tcMar>
              <w:top w:type="dxa" w:w="60"/>
              <w:left w:type="dxa" w:w="90"/>
              <w:bottom w:type="dxa" w:w="60"/>
              <w:right w:type="dxa" w:w="90"/>
            </w:tcMar>
          </w:tcPr>
          <w:p>
            <w:pPr>
              <w:spacing w:after="20" w:line="250"/>
            </w:pPr>
            <w:r>
              <w:rPr>
                <w:color w:val="1A1A1A"/>
                <w:sz w:val="19"/>
                <w:szCs w:val="19"/>
              </w:rPr>
              <w:t xml:space="preserve">WGS / tNGS</w:t>
            </w:r>
          </w:p>
        </w:tc>
        <w:tc>
          <w:tcPr>
            <w:tcW w:type="dxa" w:w="6960"/>
            <w:tcMar>
              <w:top w:type="dxa" w:w="60"/>
              <w:left w:type="dxa" w:w="90"/>
              <w:bottom w:type="dxa" w:w="60"/>
              <w:right w:type="dxa" w:w="90"/>
            </w:tcMar>
          </w:tcPr>
          <w:p>
            <w:pPr>
              <w:spacing w:after="20" w:line="250"/>
            </w:pPr>
            <w:r>
              <w:rPr>
                <w:color w:val="1A1A1A"/>
                <w:sz w:val="19"/>
                <w:szCs w:val="19"/>
              </w:rPr>
              <w:t xml:space="preserve">Whole-genome / targeted next-generation sequencing</w:t>
            </w:r>
          </w:p>
        </w:tc>
      </w:tr>
      <w:tr>
        <w:tc>
          <w:tcPr>
            <w:tcW w:type="dxa" w:w="2400"/>
            <w:shd w:fill="F4F6F7" w:color="auto" w:val="clear"/>
            <w:tcMar>
              <w:top w:type="dxa" w:w="60"/>
              <w:left w:type="dxa" w:w="90"/>
              <w:bottom w:type="dxa" w:w="60"/>
              <w:right w:type="dxa" w:w="90"/>
            </w:tcMar>
          </w:tcPr>
          <w:p>
            <w:pPr>
              <w:spacing w:after="20" w:line="250"/>
            </w:pPr>
            <w:r>
              <w:rPr>
                <w:color w:val="1A1A1A"/>
                <w:sz w:val="19"/>
                <w:szCs w:val="19"/>
              </w:rPr>
              <w:t xml:space="preserve">VME / ME</w:t>
            </w:r>
          </w:p>
        </w:tc>
        <w:tc>
          <w:tcPr>
            <w:tcW w:type="dxa" w:w="6960"/>
            <w:shd w:fill="F4F6F7" w:color="auto" w:val="clear"/>
            <w:tcMar>
              <w:top w:type="dxa" w:w="60"/>
              <w:left w:type="dxa" w:w="90"/>
              <w:bottom w:type="dxa" w:w="60"/>
              <w:right w:type="dxa" w:w="90"/>
            </w:tcMar>
          </w:tcPr>
          <w:p>
            <w:pPr>
              <w:spacing w:after="20" w:line="250"/>
            </w:pPr>
            <w:r>
              <w:rPr>
                <w:color w:val="1A1A1A"/>
                <w:sz w:val="19"/>
                <w:szCs w:val="19"/>
              </w:rPr>
              <w:t xml:space="preserve">Very-major error (false-susceptible) / major error (false-resistant)</w:t>
            </w:r>
          </w:p>
        </w:tc>
      </w:tr>
      <w:tr>
        <w:tc>
          <w:tcPr>
            <w:tcW w:type="dxa" w:w="2400"/>
            <w:tcMar>
              <w:top w:type="dxa" w:w="60"/>
              <w:left w:type="dxa" w:w="90"/>
              <w:bottom w:type="dxa" w:w="60"/>
              <w:right w:type="dxa" w:w="90"/>
            </w:tcMar>
          </w:tcPr>
          <w:p>
            <w:pPr>
              <w:spacing w:after="20" w:line="250"/>
            </w:pPr>
            <w:r>
              <w:rPr>
                <w:color w:val="1A1A1A"/>
                <w:sz w:val="19"/>
                <w:szCs w:val="19"/>
              </w:rPr>
              <w:t xml:space="preserve">FHIR</w:t>
            </w:r>
          </w:p>
        </w:tc>
        <w:tc>
          <w:tcPr>
            <w:tcW w:type="dxa" w:w="6960"/>
            <w:tcMar>
              <w:top w:type="dxa" w:w="60"/>
              <w:left w:type="dxa" w:w="90"/>
              <w:bottom w:type="dxa" w:w="60"/>
              <w:right w:type="dxa" w:w="90"/>
            </w:tcMar>
          </w:tcPr>
          <w:p>
            <w:pPr>
              <w:spacing w:after="20" w:line="250"/>
            </w:pPr>
            <w:r>
              <w:rPr>
                <w:color w:val="1A1A1A"/>
                <w:sz w:val="19"/>
                <w:szCs w:val="19"/>
              </w:rPr>
              <w:t xml:space="preserve">Fast Healthcare Interoperability Resources</w:t>
            </w:r>
          </w:p>
        </w:tc>
      </w:tr>
      <w:tr>
        <w:tc>
          <w:tcPr>
            <w:tcW w:type="dxa" w:w="2400"/>
            <w:shd w:fill="F4F6F7" w:color="auto" w:val="clear"/>
            <w:tcMar>
              <w:top w:type="dxa" w:w="60"/>
              <w:left w:type="dxa" w:w="90"/>
              <w:bottom w:type="dxa" w:w="60"/>
              <w:right w:type="dxa" w:w="90"/>
            </w:tcMar>
          </w:tcPr>
          <w:p>
            <w:pPr>
              <w:spacing w:after="20" w:line="250"/>
            </w:pPr>
            <w:r>
              <w:rPr>
                <w:color w:val="1A1A1A"/>
                <w:sz w:val="19"/>
                <w:szCs w:val="19"/>
              </w:rPr>
              <w:t xml:space="preserve">LIMS / EHR</w:t>
            </w:r>
          </w:p>
        </w:tc>
        <w:tc>
          <w:tcPr>
            <w:tcW w:type="dxa" w:w="6960"/>
            <w:shd w:fill="F4F6F7" w:color="auto" w:val="clear"/>
            <w:tcMar>
              <w:top w:type="dxa" w:w="60"/>
              <w:left w:type="dxa" w:w="90"/>
              <w:bottom w:type="dxa" w:w="60"/>
              <w:right w:type="dxa" w:w="90"/>
            </w:tcMar>
          </w:tcPr>
          <w:p>
            <w:pPr>
              <w:spacing w:after="20" w:line="250"/>
            </w:pPr>
            <w:r>
              <w:rPr>
                <w:color w:val="1A1A1A"/>
                <w:sz w:val="19"/>
                <w:szCs w:val="19"/>
              </w:rPr>
              <w:t xml:space="preserve">Laboratory information management system / electronic health record</w:t>
            </w:r>
          </w:p>
        </w:tc>
      </w:tr>
      <w:tr>
        <w:tc>
          <w:tcPr>
            <w:tcW w:type="dxa" w:w="2400"/>
            <w:tcMar>
              <w:top w:type="dxa" w:w="60"/>
              <w:left w:type="dxa" w:w="90"/>
              <w:bottom w:type="dxa" w:w="60"/>
              <w:right w:type="dxa" w:w="90"/>
            </w:tcMar>
          </w:tcPr>
          <w:p>
            <w:pPr>
              <w:spacing w:after="20" w:line="250"/>
            </w:pPr>
            <w:r>
              <w:rPr>
                <w:color w:val="1A1A1A"/>
                <w:sz w:val="19"/>
                <w:szCs w:val="19"/>
              </w:rPr>
              <w:t xml:space="preserve">CFIR / RE-AIM</w:t>
            </w:r>
          </w:p>
        </w:tc>
        <w:tc>
          <w:tcPr>
            <w:tcW w:type="dxa" w:w="6960"/>
            <w:tcMar>
              <w:top w:type="dxa" w:w="60"/>
              <w:left w:type="dxa" w:w="90"/>
              <w:bottom w:type="dxa" w:w="60"/>
              <w:right w:type="dxa" w:w="90"/>
            </w:tcMar>
          </w:tcPr>
          <w:p>
            <w:pPr>
              <w:spacing w:after="20" w:line="250"/>
            </w:pPr>
            <w:r>
              <w:rPr>
                <w:color w:val="1A1A1A"/>
                <w:sz w:val="19"/>
                <w:szCs w:val="19"/>
              </w:rPr>
              <w:t xml:space="preserve">Consolidated Framework for Implementation Research / Reach-Effectiveness-Adoption-Implementation-Maintenance</w:t>
            </w:r>
          </w:p>
        </w:tc>
      </w:tr>
    </w:tbl>
    <w:p>
      <w:pPr>
        <w:pStyle w:val="Heading1"/>
        <w:spacing w:after="140" w:before="320"/>
      </w:pPr>
      <w:r>
        <w:rPr>
          <w:b/>
          <w:bCs/>
          <w:color w:val="2E5A6B"/>
          <w:sz w:val="30"/>
          <w:szCs w:val="30"/>
        </w:rPr>
        <w:t xml:space="preserve">Appendix B. Routing decision table (reference profile)</w:t>
      </w:r>
    </w:p>
    <w:tbl>
      <w:tblPr>
        <w:tblW w:type="dxa" w:w="9360"/>
        <w:tblBorders>
          <w:top w:val="single" w:color="C4CED2" w:sz="4"/>
          <w:left w:val="single" w:color="C4CED2" w:sz="4"/>
          <w:bottom w:val="single" w:color="C4CED2" w:sz="4"/>
          <w:right w:val="single" w:color="C4CED2" w:sz="4"/>
          <w:insideH w:val="single" w:color="D8DFE2" w:sz="2"/>
          <w:insideV w:val="single" w:color="D8DFE2" w:sz="2"/>
        </w:tblBorders>
      </w:tblPr>
      <w:tblGrid>
        <w:gridCol w:w="1100"/>
        <w:gridCol w:w="5400"/>
        <w:gridCol w:w="2860"/>
      </w:tblGrid>
      <w:tr>
        <w:trPr>
          <w:tblHeader/>
        </w:trPr>
        <w:tc>
          <w:tcPr>
            <w:tcW w:type="dxa" w:w="1100"/>
            <w:shd w:fill="E9EEF0" w:color="auto" w:val="clear"/>
            <w:tcMar>
              <w:top w:type="dxa" w:w="60"/>
              <w:left w:type="dxa" w:w="90"/>
              <w:bottom w:type="dxa" w:w="60"/>
              <w:right w:type="dxa" w:w="90"/>
            </w:tcMar>
          </w:tcPr>
          <w:p>
            <w:pPr>
              <w:spacing w:after="20" w:line="250"/>
            </w:pPr>
            <w:r>
              <w:rPr>
                <w:b/>
                <w:bCs/>
                <w:color w:val="1A1A1A"/>
                <w:sz w:val="19"/>
                <w:szCs w:val="19"/>
              </w:rPr>
              <w:t xml:space="preserve">Order</w:t>
            </w:r>
          </w:p>
        </w:tc>
        <w:tc>
          <w:tcPr>
            <w:tcW w:type="dxa" w:w="5400"/>
            <w:shd w:fill="E9EEF0" w:color="auto" w:val="clear"/>
            <w:tcMar>
              <w:top w:type="dxa" w:w="60"/>
              <w:left w:type="dxa" w:w="90"/>
              <w:bottom w:type="dxa" w:w="60"/>
              <w:right w:type="dxa" w:w="90"/>
            </w:tcMar>
          </w:tcPr>
          <w:p>
            <w:pPr>
              <w:spacing w:after="20" w:line="250"/>
            </w:pPr>
            <w:r>
              <w:rPr>
                <w:b/>
                <w:bCs/>
                <w:color w:val="1A1A1A"/>
                <w:sz w:val="19"/>
                <w:szCs w:val="19"/>
              </w:rPr>
              <w:t xml:space="preserve">Condition</w:t>
            </w:r>
          </w:p>
        </w:tc>
        <w:tc>
          <w:tcPr>
            <w:tcW w:type="dxa" w:w="2860"/>
            <w:shd w:fill="E9EEF0" w:color="auto" w:val="clear"/>
            <w:tcMar>
              <w:top w:type="dxa" w:w="60"/>
              <w:left w:type="dxa" w:w="90"/>
              <w:bottom w:type="dxa" w:w="60"/>
              <w:right w:type="dxa" w:w="90"/>
            </w:tcMar>
          </w:tcPr>
          <w:p>
            <w:pPr>
              <w:spacing w:after="20" w:line="250"/>
            </w:pPr>
            <w:r>
              <w:rPr>
                <w:b/>
                <w:bCs/>
                <w:color w:val="1A1A1A"/>
                <w:sz w:val="19"/>
                <w:szCs w:val="19"/>
              </w:rPr>
              <w:t xml:space="preserve">Lane</w:t>
            </w:r>
          </w:p>
        </w:tc>
      </w:tr>
      <w:tr>
        <w:tc>
          <w:tcPr>
            <w:tcW w:type="dxa" w:w="1100"/>
            <w:tcMar>
              <w:top w:type="dxa" w:w="60"/>
              <w:left w:type="dxa" w:w="90"/>
              <w:bottom w:type="dxa" w:w="60"/>
              <w:right w:type="dxa" w:w="90"/>
            </w:tcMar>
          </w:tcPr>
          <w:p>
            <w:pPr>
              <w:spacing w:after="20" w:line="250"/>
            </w:pPr>
            <w:r>
              <w:rPr>
                <w:color w:val="1A1A1A"/>
                <w:sz w:val="19"/>
                <w:szCs w:val="19"/>
              </w:rPr>
              <w:t xml:space="preserve">1</w:t>
            </w:r>
          </w:p>
        </w:tc>
        <w:tc>
          <w:tcPr>
            <w:tcW w:type="dxa" w:w="5400"/>
            <w:tcMar>
              <w:top w:type="dxa" w:w="60"/>
              <w:left w:type="dxa" w:w="90"/>
              <w:bottom w:type="dxa" w:w="60"/>
              <w:right w:type="dxa" w:w="90"/>
            </w:tcMar>
          </w:tcPr>
          <w:p>
            <w:pPr>
              <w:spacing w:after="20" w:line="250"/>
            </w:pPr>
            <w:r>
              <w:rPr>
                <w:color w:val="1A1A1A"/>
                <w:sz w:val="19"/>
                <w:szCs w:val="19"/>
              </w:rPr>
              <w:t xml:space="preserve">Silent / synonymous / off-target</w:t>
            </w:r>
          </w:p>
        </w:tc>
        <w:tc>
          <w:tcPr>
            <w:tcW w:type="dxa" w:w="2860"/>
            <w:tcMar>
              <w:top w:type="dxa" w:w="60"/>
              <w:left w:type="dxa" w:w="90"/>
              <w:bottom w:type="dxa" w:w="60"/>
              <w:right w:type="dxa" w:w="90"/>
            </w:tcMar>
          </w:tcPr>
          <w:p>
            <w:pPr>
              <w:spacing w:after="20" w:line="250"/>
            </w:pPr>
            <w:r>
              <w:rPr>
                <w:color w:val="1A1A1A"/>
                <w:sz w:val="19"/>
                <w:szCs w:val="19"/>
              </w:rPr>
              <w:t xml:space="preserve">Ignored</w:t>
            </w:r>
          </w:p>
        </w:tc>
      </w:tr>
      <w:tr>
        <w:tc>
          <w:tcPr>
            <w:tcW w:type="dxa" w:w="1100"/>
            <w:shd w:fill="F4F6F7" w:color="auto" w:val="clear"/>
            <w:tcMar>
              <w:top w:type="dxa" w:w="60"/>
              <w:left w:type="dxa" w:w="90"/>
              <w:bottom w:type="dxa" w:w="60"/>
              <w:right w:type="dxa" w:w="90"/>
            </w:tcMar>
          </w:tcPr>
          <w:p>
            <w:pPr>
              <w:spacing w:after="20" w:line="250"/>
            </w:pPr>
            <w:r>
              <w:rPr>
                <w:color w:val="1A1A1A"/>
                <w:sz w:val="19"/>
                <w:szCs w:val="19"/>
              </w:rPr>
              <w:t xml:space="preserve">2</w:t>
            </w:r>
          </w:p>
        </w:tc>
        <w:tc>
          <w:tcPr>
            <w:tcW w:type="dxa" w:w="5400"/>
            <w:shd w:fill="F4F6F7" w:color="auto" w:val="clear"/>
            <w:tcMar>
              <w:top w:type="dxa" w:w="60"/>
              <w:left w:type="dxa" w:w="90"/>
              <w:bottom w:type="dxa" w:w="60"/>
              <w:right w:type="dxa" w:w="90"/>
            </w:tcMar>
          </w:tcPr>
          <w:p>
            <w:pPr>
              <w:spacing w:after="20" w:line="250"/>
            </w:pPr>
            <w:r>
              <w:rPr>
                <w:color w:val="1A1A1A"/>
                <w:sz w:val="19"/>
                <w:szCs w:val="19"/>
              </w:rPr>
              <w:t xml:space="preserve">Present in catalogue</w:t>
            </w:r>
          </w:p>
        </w:tc>
        <w:tc>
          <w:tcPr>
            <w:tcW w:type="dxa" w:w="2860"/>
            <w:shd w:fill="F4F6F7" w:color="auto" w:val="clear"/>
            <w:tcMar>
              <w:top w:type="dxa" w:w="60"/>
              <w:left w:type="dxa" w:w="90"/>
              <w:bottom w:type="dxa" w:w="60"/>
              <w:right w:type="dxa" w:w="90"/>
            </w:tcMar>
          </w:tcPr>
          <w:p>
            <w:pPr>
              <w:spacing w:after="20" w:line="250"/>
            </w:pPr>
            <w:r>
              <w:rPr>
                <w:color w:val="1A1A1A"/>
                <w:sz w:val="19"/>
                <w:szCs w:val="19"/>
              </w:rPr>
              <w:t xml:space="preserve">Catalogue</w:t>
            </w:r>
          </w:p>
        </w:tc>
      </w:tr>
      <w:tr>
        <w:tc>
          <w:tcPr>
            <w:tcW w:type="dxa" w:w="1100"/>
            <w:tcMar>
              <w:top w:type="dxa" w:w="60"/>
              <w:left w:type="dxa" w:w="90"/>
              <w:bottom w:type="dxa" w:w="60"/>
              <w:right w:type="dxa" w:w="90"/>
            </w:tcMar>
          </w:tcPr>
          <w:p>
            <w:pPr>
              <w:spacing w:after="20" w:line="250"/>
            </w:pPr>
            <w:r>
              <w:rPr>
                <w:color w:val="1A1A1A"/>
                <w:sz w:val="19"/>
                <w:szCs w:val="19"/>
              </w:rPr>
              <w:t xml:space="preserve">3</w:t>
            </w:r>
          </w:p>
        </w:tc>
        <w:tc>
          <w:tcPr>
            <w:tcW w:type="dxa" w:w="5400"/>
            <w:tcMar>
              <w:top w:type="dxa" w:w="60"/>
              <w:left w:type="dxa" w:w="90"/>
              <w:bottom w:type="dxa" w:w="60"/>
              <w:right w:type="dxa" w:w="90"/>
            </w:tcMar>
          </w:tcPr>
          <w:p>
            <w:pPr>
              <w:spacing w:after="20" w:line="250"/>
            </w:pPr>
            <w:r>
              <w:rPr>
                <w:color w:val="1A1A1A"/>
                <w:sz w:val="19"/>
                <w:szCs w:val="19"/>
              </w:rPr>
              <w:t xml:space="preserve">Gene is a known efflux regulator</w:t>
            </w:r>
          </w:p>
        </w:tc>
        <w:tc>
          <w:tcPr>
            <w:tcW w:type="dxa" w:w="2860"/>
            <w:tcMar>
              <w:top w:type="dxa" w:w="60"/>
              <w:left w:type="dxa" w:w="90"/>
              <w:bottom w:type="dxa" w:w="60"/>
              <w:right w:type="dxa" w:w="90"/>
            </w:tcMar>
          </w:tcPr>
          <w:p>
            <w:pPr>
              <w:spacing w:after="20" w:line="250"/>
            </w:pPr>
            <w:r>
              <w:rPr>
                <w:color w:val="1A1A1A"/>
                <w:sz w:val="19"/>
                <w:szCs w:val="19"/>
              </w:rPr>
              <w:t xml:space="preserve">Efflux / regulatory</w:t>
            </w:r>
          </w:p>
        </w:tc>
      </w:tr>
      <w:tr>
        <w:tc>
          <w:tcPr>
            <w:tcW w:type="dxa" w:w="1100"/>
            <w:shd w:fill="F4F6F7" w:color="auto" w:val="clear"/>
            <w:tcMar>
              <w:top w:type="dxa" w:w="60"/>
              <w:left w:type="dxa" w:w="90"/>
              <w:bottom w:type="dxa" w:w="60"/>
              <w:right w:type="dxa" w:w="90"/>
            </w:tcMar>
          </w:tcPr>
          <w:p>
            <w:pPr>
              <w:spacing w:after="20" w:line="250"/>
            </w:pPr>
            <w:r>
              <w:rPr>
                <w:color w:val="1A1A1A"/>
                <w:sz w:val="19"/>
                <w:szCs w:val="19"/>
              </w:rPr>
              <w:t xml:space="preserve">4</w:t>
            </w:r>
          </w:p>
        </w:tc>
        <w:tc>
          <w:tcPr>
            <w:tcW w:type="dxa" w:w="5400"/>
            <w:shd w:fill="F4F6F7" w:color="auto" w:val="clear"/>
            <w:tcMar>
              <w:top w:type="dxa" w:w="60"/>
              <w:left w:type="dxa" w:w="90"/>
              <w:bottom w:type="dxa" w:w="60"/>
              <w:right w:type="dxa" w:w="90"/>
            </w:tcMar>
          </w:tcPr>
          <w:p>
            <w:pPr>
              <w:spacing w:after="20" w:line="250"/>
            </w:pPr>
            <w:r>
              <w:rPr>
                <w:color w:val="1A1A1A"/>
                <w:sz w:val="19"/>
                <w:szCs w:val="19"/>
              </w:rPr>
              <w:t xml:space="preserve">Region is promoter or intergenic</w:t>
            </w:r>
          </w:p>
        </w:tc>
        <w:tc>
          <w:tcPr>
            <w:tcW w:type="dxa" w:w="2860"/>
            <w:shd w:fill="F4F6F7" w:color="auto" w:val="clear"/>
            <w:tcMar>
              <w:top w:type="dxa" w:w="60"/>
              <w:left w:type="dxa" w:w="90"/>
              <w:bottom w:type="dxa" w:w="60"/>
              <w:right w:type="dxa" w:w="90"/>
            </w:tcMar>
          </w:tcPr>
          <w:p>
            <w:pPr>
              <w:spacing w:after="20" w:line="250"/>
            </w:pPr>
            <w:r>
              <w:rPr>
                <w:color w:val="1A1A1A"/>
                <w:sz w:val="19"/>
                <w:szCs w:val="19"/>
              </w:rPr>
              <w:t xml:space="preserve">Efflux / regulatory</w:t>
            </w:r>
          </w:p>
        </w:tc>
      </w:tr>
      <w:tr>
        <w:tc>
          <w:tcPr>
            <w:tcW w:type="dxa" w:w="1100"/>
            <w:tcMar>
              <w:top w:type="dxa" w:w="60"/>
              <w:left w:type="dxa" w:w="90"/>
              <w:bottom w:type="dxa" w:w="60"/>
              <w:right w:type="dxa" w:w="90"/>
            </w:tcMar>
          </w:tcPr>
          <w:p>
            <w:pPr>
              <w:spacing w:after="20" w:line="250"/>
            </w:pPr>
            <w:r>
              <w:rPr>
                <w:color w:val="1A1A1A"/>
                <w:sz w:val="19"/>
                <w:szCs w:val="19"/>
              </w:rPr>
              <w:t xml:space="preserve">5</w:t>
            </w:r>
          </w:p>
        </w:tc>
        <w:tc>
          <w:tcPr>
            <w:tcW w:type="dxa" w:w="5400"/>
            <w:tcMar>
              <w:top w:type="dxa" w:w="60"/>
              <w:left w:type="dxa" w:w="90"/>
              <w:bottom w:type="dxa" w:w="60"/>
              <w:right w:type="dxa" w:w="90"/>
            </w:tcMar>
          </w:tcPr>
          <w:p>
            <w:pPr>
              <w:spacing w:after="20" w:line="250"/>
            </w:pPr>
            <w:r>
              <w:rPr>
                <w:color w:val="1A1A1A"/>
                <w:sz w:val="19"/>
                <w:szCs w:val="19"/>
              </w:rPr>
              <w:t xml:space="preserve">Coding variant in a modelled gene</w:t>
            </w:r>
          </w:p>
        </w:tc>
        <w:tc>
          <w:tcPr>
            <w:tcW w:type="dxa" w:w="2860"/>
            <w:tcMar>
              <w:top w:type="dxa" w:w="60"/>
              <w:left w:type="dxa" w:w="90"/>
              <w:bottom w:type="dxa" w:w="60"/>
              <w:right w:type="dxa" w:w="90"/>
            </w:tcMar>
          </w:tcPr>
          <w:p>
            <w:pPr>
              <w:spacing w:after="20" w:line="250"/>
            </w:pPr>
            <w:r>
              <w:rPr>
                <w:color w:val="1A1A1A"/>
                <w:sz w:val="19"/>
                <w:szCs w:val="19"/>
              </w:rPr>
              <w:t xml:space="preserve">VUS classifier</w:t>
            </w:r>
          </w:p>
        </w:tc>
      </w:tr>
      <w:tr>
        <w:tc>
          <w:tcPr>
            <w:tcW w:type="dxa" w:w="1100"/>
            <w:shd w:fill="F4F6F7" w:color="auto" w:val="clear"/>
            <w:tcMar>
              <w:top w:type="dxa" w:w="60"/>
              <w:left w:type="dxa" w:w="90"/>
              <w:bottom w:type="dxa" w:w="60"/>
              <w:right w:type="dxa" w:w="90"/>
            </w:tcMar>
          </w:tcPr>
          <w:p>
            <w:pPr>
              <w:spacing w:after="20" w:line="250"/>
            </w:pPr>
            <w:r>
              <w:rPr>
                <w:color w:val="1A1A1A"/>
                <w:sz w:val="19"/>
                <w:szCs w:val="19"/>
              </w:rPr>
              <w:t xml:space="preserve">6</w:t>
            </w:r>
          </w:p>
        </w:tc>
        <w:tc>
          <w:tcPr>
            <w:tcW w:type="dxa" w:w="5400"/>
            <w:shd w:fill="F4F6F7" w:color="auto" w:val="clear"/>
            <w:tcMar>
              <w:top w:type="dxa" w:w="60"/>
              <w:left w:type="dxa" w:w="90"/>
              <w:bottom w:type="dxa" w:w="60"/>
              <w:right w:type="dxa" w:w="90"/>
            </w:tcMar>
          </w:tcPr>
          <w:p>
            <w:pPr>
              <w:spacing w:after="20" w:line="250"/>
            </w:pPr>
            <w:r>
              <w:rPr>
                <w:color w:val="1A1A1A"/>
                <w:sz w:val="19"/>
                <w:szCs w:val="19"/>
              </w:rPr>
              <w:t xml:space="preserve">Otherwise</w:t>
            </w:r>
          </w:p>
        </w:tc>
        <w:tc>
          <w:tcPr>
            <w:tcW w:type="dxa" w:w="2860"/>
            <w:shd w:fill="F4F6F7" w:color="auto" w:val="clear"/>
            <w:tcMar>
              <w:top w:type="dxa" w:w="60"/>
              <w:left w:type="dxa" w:w="90"/>
              <w:bottom w:type="dxa" w:w="60"/>
              <w:right w:type="dxa" w:w="90"/>
            </w:tcMar>
          </w:tcPr>
          <w:p>
            <w:pPr>
              <w:spacing w:after="20" w:line="250"/>
            </w:pPr>
            <w:r>
              <w:rPr>
                <w:color w:val="1A1A1A"/>
                <w:sz w:val="19"/>
                <w:szCs w:val="19"/>
              </w:rPr>
              <w:t xml:space="preserve">Ignored (no lane can yet speak to it)</w:t>
            </w:r>
          </w:p>
        </w:tc>
      </w:tr>
    </w:tbl>
    <w:p>
      <w:pPr>
        <w:pStyle w:val="Heading1"/>
        <w:spacing w:after="140" w:before="320"/>
      </w:pPr>
      <w:r>
        <w:rPr>
          <w:b/>
          <w:bCs/>
          <w:color w:val="2E5A6B"/>
          <w:sz w:val="30"/>
          <w:szCs w:val="30"/>
        </w:rPr>
        <w:t xml:space="preserve">Appendix C. Selected references</w:t>
      </w:r>
    </w:p>
    <w:p>
      <w:pPr>
        <w:spacing w:after="120" w:before="0" w:line="276"/>
      </w:pPr>
      <w:r>
        <w:rPr>
          <w:i/>
          <w:iCs/>
          <w:color w:val="5F5E5A"/>
          <w:sz w:val="18"/>
          <w:szCs w:val="18"/>
        </w:rPr>
        <w:t xml:space="preserve">References are described accurately for identification; consult the original sources for full bibliographic detail.</w:t>
      </w:r>
    </w:p>
    <w:p>
      <w:pPr>
        <w:pStyle w:val="ListParagraph"/>
        <w:numPr>
          <w:ilvl w:val="0"/>
          <w:numId w:val="1"/>
        </w:numPr>
        <w:spacing w:after="60" w:line="264"/>
      </w:pPr>
      <w:r>
        <w:rPr>
          <w:color w:val="1A1A1A"/>
          <w:sz w:val="21"/>
          <w:szCs w:val="21"/>
        </w:rPr>
        <w:t xml:space="preserve">World Health Organization. Catalogue of mutations in Mycobacterium tuberculosis complex and their association with drug resistance, 2nd edition, 2023.</w:t>
      </w:r>
    </w:p>
    <w:p>
      <w:pPr>
        <w:pStyle w:val="ListParagraph"/>
        <w:numPr>
          <w:ilvl w:val="0"/>
          <w:numId w:val="1"/>
        </w:numPr>
        <w:spacing w:after="60" w:line="264"/>
      </w:pPr>
      <w:r>
        <w:rPr>
          <w:color w:val="1A1A1A"/>
          <w:sz w:val="21"/>
          <w:szCs w:val="21"/>
        </w:rPr>
        <w:t xml:space="preserve">The CRyPTIC Consortium. Genome-wide association and predictive studies pairing M. tuberculosis genomes with quantitative phenotypic DST, 2022.</w:t>
      </w:r>
    </w:p>
    <w:p>
      <w:pPr>
        <w:pStyle w:val="ListParagraph"/>
        <w:numPr>
          <w:ilvl w:val="0"/>
          <w:numId w:val="1"/>
        </w:numPr>
        <w:spacing w:after="60" w:line="264"/>
      </w:pPr>
      <w:r>
        <w:rPr>
          <w:color w:val="1A1A1A"/>
          <w:sz w:val="21"/>
          <w:szCs w:val="21"/>
        </w:rPr>
        <w:t xml:space="preserve">Bacterial and Viral Bioinformatics Resource Center (BV-BRC) — integrated bacterial genomics data resource.</w:t>
      </w:r>
    </w:p>
    <w:p>
      <w:pPr>
        <w:pStyle w:val="ListParagraph"/>
        <w:numPr>
          <w:ilvl w:val="0"/>
          <w:numId w:val="1"/>
        </w:numPr>
        <w:spacing w:after="60" w:line="264"/>
      </w:pPr>
      <w:r>
        <w:rPr>
          <w:color w:val="1A1A1A"/>
          <w:sz w:val="21"/>
          <w:szCs w:val="21"/>
        </w:rPr>
        <w:t xml:space="preserve">Zankari E. et al. ResFinder — identification of acquired antimicrobial resistance genes, 2012, and subsequent updates.</w:t>
      </w:r>
    </w:p>
    <w:p>
      <w:pPr>
        <w:pStyle w:val="ListParagraph"/>
        <w:numPr>
          <w:ilvl w:val="0"/>
          <w:numId w:val="1"/>
        </w:numPr>
        <w:spacing w:after="60" w:line="264"/>
      </w:pPr>
      <w:r>
        <w:rPr>
          <w:color w:val="1A1A1A"/>
          <w:sz w:val="21"/>
          <w:szCs w:val="21"/>
        </w:rPr>
        <w:t xml:space="preserve">Alcock B.P. et al. Comprehensive Antibiotic Resistance Database (CARD), ongoing.</w:t>
      </w:r>
    </w:p>
    <w:p>
      <w:pPr>
        <w:pStyle w:val="ListParagraph"/>
        <w:numPr>
          <w:ilvl w:val="0"/>
          <w:numId w:val="1"/>
        </w:numPr>
        <w:spacing w:after="60" w:line="264"/>
      </w:pPr>
      <w:r>
        <w:rPr>
          <w:color w:val="1A1A1A"/>
          <w:sz w:val="21"/>
          <w:szCs w:val="21"/>
        </w:rPr>
        <w:t xml:space="preserve">Jumper J. et al. Highly accurate protein structure prediction with AlphaFold. Nature, 2021.</w:t>
      </w:r>
    </w:p>
    <w:p>
      <w:pPr>
        <w:pStyle w:val="ListParagraph"/>
        <w:numPr>
          <w:ilvl w:val="0"/>
          <w:numId w:val="1"/>
        </w:numPr>
        <w:spacing w:after="60" w:line="264"/>
      </w:pPr>
      <w:r>
        <w:rPr>
          <w:color w:val="1A1A1A"/>
          <w:sz w:val="21"/>
          <w:szCs w:val="21"/>
        </w:rPr>
        <w:t xml:space="preserve">Trott O., Olson A.J. AutoDock Vina — improved docking, 2010.</w:t>
      </w:r>
    </w:p>
    <w:p>
      <w:pPr>
        <w:pStyle w:val="ListParagraph"/>
        <w:numPr>
          <w:ilvl w:val="0"/>
          <w:numId w:val="1"/>
        </w:numPr>
        <w:spacing w:after="60" w:line="264"/>
      </w:pPr>
      <w:r>
        <w:rPr>
          <w:color w:val="1A1A1A"/>
          <w:sz w:val="21"/>
          <w:szCs w:val="21"/>
        </w:rPr>
        <w:t xml:space="preserve">Chen T., Guestrin C. XGBoost: a scalable tree boosting system, 2016.</w:t>
      </w:r>
    </w:p>
    <w:p>
      <w:pPr>
        <w:pStyle w:val="ListParagraph"/>
        <w:numPr>
          <w:ilvl w:val="0"/>
          <w:numId w:val="1"/>
        </w:numPr>
        <w:spacing w:after="60" w:line="264"/>
      </w:pPr>
      <w:r>
        <w:rPr>
          <w:color w:val="1A1A1A"/>
          <w:sz w:val="21"/>
          <w:szCs w:val="21"/>
        </w:rPr>
        <w:t xml:space="preserve">Lundberg S., Lee S.-I. A unified approach to interpreting model predictions (SHAP), 2017.</w:t>
      </w:r>
    </w:p>
    <w:p>
      <w:pPr>
        <w:pStyle w:val="ListParagraph"/>
        <w:numPr>
          <w:ilvl w:val="0"/>
          <w:numId w:val="1"/>
        </w:numPr>
        <w:spacing w:after="60" w:line="264"/>
      </w:pPr>
      <w:r>
        <w:rPr>
          <w:color w:val="1A1A1A"/>
          <w:sz w:val="21"/>
          <w:szCs w:val="21"/>
        </w:rPr>
        <w:t xml:space="preserve">Damschroder L.J. et al. Consolidated Framework for Implementation Research (CFIR), 2009; updated 2022.</w:t>
      </w:r>
    </w:p>
    <w:p>
      <w:pPr>
        <w:pStyle w:val="ListParagraph"/>
        <w:numPr>
          <w:ilvl w:val="0"/>
          <w:numId w:val="1"/>
        </w:numPr>
        <w:spacing w:after="60" w:line="264"/>
      </w:pPr>
      <w:r>
        <w:rPr>
          <w:color w:val="1A1A1A"/>
          <w:sz w:val="21"/>
          <w:szCs w:val="21"/>
        </w:rPr>
        <w:t xml:space="preserve">Glasgow R.E., Vogt T.M., Boles S.M. RE-AIM framework, 1999.</w:t>
      </w:r>
    </w:p>
    <w:p>
      <w:pPr>
        <w:pStyle w:val="ListParagraph"/>
        <w:numPr>
          <w:ilvl w:val="0"/>
          <w:numId w:val="1"/>
        </w:numPr>
        <w:spacing w:after="60" w:line="264"/>
      </w:pPr>
      <w:r>
        <w:rPr>
          <w:color w:val="1A1A1A"/>
          <w:sz w:val="21"/>
          <w:szCs w:val="21"/>
        </w:rPr>
        <w:t xml:space="preserve">Proctor E. et al. Outcomes for implementation research, 2011.</w:t>
      </w:r>
    </w:p>
    <w:p>
      <w:pPr>
        <w:spacing w:after="80"/>
      </w:pPr>
    </w:p>
    <w:p>
      <w:pPr>
        <w:pBdr>
          <w:bottom w:val="single" w:color="2E5A6B" w:sz="6"/>
        </w:pBdr>
        <w:spacing w:after="120" w:before="60"/>
      </w:pPr>
    </w:p>
    <w:p>
      <w:pPr>
        <w:spacing w:after="120" w:before="0" w:line="276"/>
      </w:pPr>
      <w:r>
        <w:rPr>
          <w:i/>
          <w:iCs/>
          <w:color w:val="5F5E5A"/>
          <w:sz w:val="18"/>
          <w:szCs w:val="18"/>
        </w:rPr>
        <w:t xml:space="preserve">Myconductor is a research and clinical-decision-support scaffold. It does not replace phenotypic drug-susceptibility testing, does not act autonomously, and is validated only for the mycobacterial profile in this release. Predicted calls and discovery-loop proposals are explicitly non-final and must be reviewed by qualified personnel.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ED2" w:sz="4"/>
      </w:pBdr>
      <w:spacing w:before="80"/>
      <w:jc w:val="center"/>
    </w:pPr>
    <w:r>
      <w:rPr>
        <w:color w:val="5F5E5A"/>
        <w:sz w:val="16"/>
        <w:szCs w:val="16"/>
      </w:rPr>
      <w:t xml:space="preserve">Myconductor v0.1 — Draft  ·  page </w:t>
    </w:r>
    <w:r>
      <w:rPr>
        <w:color w:val="5F5E5A"/>
        <w:sz w:val="16"/>
        <w:szCs w:val="16"/>
      </w:rPr>
      <w:fldChar w:fldCharType="begin"/>
      <w:instrText xml:space="preserve">PAGE</w:instrText>
      <w:fldChar w:fldCharType="separate"/>
      <w:fldChar w:fldCharType="end"/>
    </w:r>
    <w:r>
      <w:rPr>
        <w:color w:val="5F5E5A"/>
        <w:sz w:val="16"/>
        <w:szCs w:val="16"/>
      </w:rPr>
      <w:t xml:space="preserve">  ·  Research &amp; decision-support scaffold, not a clinical device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Myconductor — AMR genomics orchestration layer</dc:title>
  <dc:creator>Myconductor project</dc:creator>
  <dc:description>Implementation science, scientific research, and product functional specification</dc:description>
  <cp:lastModifiedBy>Un-named</cp:lastModifiedBy>
  <cp:revision>1</cp:revision>
  <dcterms:created xsi:type="dcterms:W3CDTF">2026-09-13T11:22:37.854Z</dcterms:created>
  <dcterms:modified xsi:type="dcterms:W3CDTF">2026-09-13T11:22:37.854Z</dcterms:modified>
</cp:coreProperties>
</file>

<file path=docProps/custom.xml><?xml version="1.0" encoding="utf-8"?>
<Properties xmlns="http://schemas.openxmlformats.org/officeDocument/2006/custom-properties" xmlns:vt="http://schemas.openxmlformats.org/officeDocument/2006/docPropsVTypes"/>
</file>