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FD3BA" w14:textId="77777777" w:rsidR="00003A27" w:rsidRDefault="00000000">
      <w:pPr>
        <w:spacing w:before="1600" w:after="200"/>
      </w:pPr>
      <w:r>
        <w:rPr>
          <w:b/>
          <w:color w:val="087E8B"/>
          <w:sz w:val="22"/>
        </w:rPr>
        <w:t>CONCEPT NOTE</w:t>
      </w:r>
    </w:p>
    <w:p w14:paraId="2E5A4164" w14:textId="77777777" w:rsidR="00003A27" w:rsidRDefault="00000000">
      <w:pPr>
        <w:spacing w:line="228" w:lineRule="auto"/>
      </w:pPr>
      <w:r>
        <w:rPr>
          <w:rFonts w:ascii="Aptos Display" w:hAnsi="Aptos Display"/>
          <w:b/>
          <w:color w:val="12344D"/>
          <w:sz w:val="68"/>
        </w:rPr>
        <w:t>PlasBench</w:t>
      </w:r>
    </w:p>
    <w:p w14:paraId="578B635C" w14:textId="77777777" w:rsidR="00003A27" w:rsidRDefault="00000000">
      <w:pPr>
        <w:spacing w:after="560" w:line="259" w:lineRule="auto"/>
      </w:pPr>
      <w:r>
        <w:rPr>
          <w:sz w:val="32"/>
        </w:rPr>
        <w:t>A reproducible benchmark for trustworthy plasmid research and antimicrobial-resistance surveillance</w:t>
      </w:r>
    </w:p>
    <w:tbl>
      <w:tblPr>
        <w:tblW w:w="9360" w:type="dxa"/>
        <w:tblInd w:w="120" w:type="dxa"/>
        <w:tblLayout w:type="fixed"/>
        <w:tblLook w:val="04A0" w:firstRow="1" w:lastRow="0" w:firstColumn="1" w:lastColumn="0" w:noHBand="0" w:noVBand="1"/>
      </w:tblPr>
      <w:tblGrid>
        <w:gridCol w:w="9360"/>
      </w:tblGrid>
      <w:tr w:rsidR="00003A27" w14:paraId="69D6EA00" w14:textId="77777777">
        <w:tc>
          <w:tcPr>
            <w:tcW w:w="9360" w:type="dxa"/>
            <w:shd w:val="clear" w:color="auto" w:fill="EAF3F5"/>
            <w:tcMar>
              <w:top w:w="100" w:type="dxa"/>
              <w:left w:w="140" w:type="dxa"/>
              <w:bottom w:w="100" w:type="dxa"/>
              <w:right w:w="140" w:type="dxa"/>
            </w:tcMar>
            <w:vAlign w:val="center"/>
          </w:tcPr>
          <w:p w14:paraId="196F9C96" w14:textId="77777777" w:rsidR="00003A27" w:rsidRDefault="00000000">
            <w:pPr>
              <w:spacing w:after="0" w:line="259" w:lineRule="auto"/>
            </w:pPr>
            <w:r>
              <w:rPr>
                <w:b/>
                <w:color w:val="12344D"/>
                <w:sz w:val="24"/>
              </w:rPr>
              <w:t>An open research platform for selecting, evaluating, and transparently reporting plasmid-reconstruction methods.</w:t>
            </w:r>
          </w:p>
        </w:tc>
      </w:tr>
    </w:tbl>
    <w:p w14:paraId="74DBF516" w14:textId="77777777" w:rsidR="00003A27" w:rsidRDefault="00003A27">
      <w:pPr>
        <w:spacing w:after="700"/>
      </w:pPr>
    </w:p>
    <w:tbl>
      <w:tblPr>
        <w:tblW w:w="9360" w:type="dxa"/>
        <w:tblInd w:w="120" w:type="dxa"/>
        <w:tblLayout w:type="fixed"/>
        <w:tblLook w:val="04A0" w:firstRow="1" w:lastRow="0" w:firstColumn="1" w:lastColumn="0" w:noHBand="0" w:noVBand="1"/>
      </w:tblPr>
      <w:tblGrid>
        <w:gridCol w:w="2200"/>
        <w:gridCol w:w="7160"/>
      </w:tblGrid>
      <w:tr w:rsidR="00003A27" w14:paraId="7FE5F300" w14:textId="77777777">
        <w:tc>
          <w:tcPr>
            <w:tcW w:w="2200" w:type="dxa"/>
            <w:shd w:val="clear" w:color="auto" w:fill="F4F7F9"/>
            <w:tcMar>
              <w:top w:w="100" w:type="dxa"/>
              <w:left w:w="140" w:type="dxa"/>
              <w:bottom w:w="100" w:type="dxa"/>
              <w:right w:w="140" w:type="dxa"/>
            </w:tcMar>
            <w:vAlign w:val="center"/>
          </w:tcPr>
          <w:p w14:paraId="35564D32" w14:textId="77777777" w:rsidR="00003A27" w:rsidRDefault="00000000">
            <w:pPr>
              <w:spacing w:after="0" w:line="259" w:lineRule="auto"/>
            </w:pPr>
            <w:r>
              <w:rPr>
                <w:b/>
                <w:color w:val="12344D"/>
                <w:sz w:val="19"/>
              </w:rPr>
              <w:t>Project type</w:t>
            </w:r>
          </w:p>
        </w:tc>
        <w:tc>
          <w:tcPr>
            <w:tcW w:w="7160" w:type="dxa"/>
            <w:tcMar>
              <w:top w:w="100" w:type="dxa"/>
              <w:left w:w="140" w:type="dxa"/>
              <w:bottom w:w="100" w:type="dxa"/>
              <w:right w:w="140" w:type="dxa"/>
            </w:tcMar>
            <w:vAlign w:val="center"/>
          </w:tcPr>
          <w:p w14:paraId="4ADC48E9" w14:textId="77777777" w:rsidR="00003A27" w:rsidRDefault="00000000">
            <w:pPr>
              <w:spacing w:after="0" w:line="259" w:lineRule="auto"/>
            </w:pPr>
            <w:r>
              <w:rPr>
                <w:sz w:val="19"/>
              </w:rPr>
              <w:t>Open research software and capacity-strengthening initiative</w:t>
            </w:r>
          </w:p>
        </w:tc>
      </w:tr>
      <w:tr w:rsidR="00003A27" w14:paraId="4F91DB88" w14:textId="77777777">
        <w:tc>
          <w:tcPr>
            <w:tcW w:w="2200" w:type="dxa"/>
            <w:shd w:val="clear" w:color="auto" w:fill="F4F7F9"/>
            <w:tcMar>
              <w:top w:w="100" w:type="dxa"/>
              <w:left w:w="140" w:type="dxa"/>
              <w:bottom w:w="100" w:type="dxa"/>
              <w:right w:w="140" w:type="dxa"/>
            </w:tcMar>
            <w:vAlign w:val="center"/>
          </w:tcPr>
          <w:p w14:paraId="33A83778" w14:textId="77777777" w:rsidR="00003A27" w:rsidRDefault="00000000">
            <w:pPr>
              <w:spacing w:after="0" w:line="259" w:lineRule="auto"/>
            </w:pPr>
            <w:r>
              <w:rPr>
                <w:b/>
                <w:color w:val="12344D"/>
                <w:sz w:val="19"/>
              </w:rPr>
              <w:t>Primary users</w:t>
            </w:r>
          </w:p>
        </w:tc>
        <w:tc>
          <w:tcPr>
            <w:tcW w:w="7160" w:type="dxa"/>
            <w:tcMar>
              <w:top w:w="100" w:type="dxa"/>
              <w:left w:w="140" w:type="dxa"/>
              <w:bottom w:w="100" w:type="dxa"/>
              <w:right w:w="140" w:type="dxa"/>
            </w:tcMar>
            <w:vAlign w:val="center"/>
          </w:tcPr>
          <w:p w14:paraId="5764C2CB" w14:textId="77777777" w:rsidR="00003A27" w:rsidRDefault="00000000">
            <w:pPr>
              <w:spacing w:after="0" w:line="259" w:lineRule="auto"/>
            </w:pPr>
            <w:r>
              <w:rPr>
                <w:sz w:val="19"/>
              </w:rPr>
              <w:t>Researchers, public-health laboratories, sequencing centres, universities, AMR programmes, and funders</w:t>
            </w:r>
          </w:p>
        </w:tc>
      </w:tr>
      <w:tr w:rsidR="00003A27" w14:paraId="0086052A" w14:textId="77777777">
        <w:tc>
          <w:tcPr>
            <w:tcW w:w="2200" w:type="dxa"/>
            <w:shd w:val="clear" w:color="auto" w:fill="F4F7F9"/>
            <w:tcMar>
              <w:top w:w="100" w:type="dxa"/>
              <w:left w:w="140" w:type="dxa"/>
              <w:bottom w:w="100" w:type="dxa"/>
              <w:right w:w="140" w:type="dxa"/>
            </w:tcMar>
            <w:vAlign w:val="center"/>
          </w:tcPr>
          <w:p w14:paraId="299FDEED" w14:textId="77777777" w:rsidR="00003A27" w:rsidRDefault="00000000">
            <w:pPr>
              <w:spacing w:after="0" w:line="259" w:lineRule="auto"/>
            </w:pPr>
            <w:r>
              <w:rPr>
                <w:b/>
                <w:color w:val="12344D"/>
                <w:sz w:val="19"/>
              </w:rPr>
              <w:t>Geographic focus</w:t>
            </w:r>
          </w:p>
        </w:tc>
        <w:tc>
          <w:tcPr>
            <w:tcW w:w="7160" w:type="dxa"/>
            <w:tcMar>
              <w:top w:w="100" w:type="dxa"/>
              <w:left w:w="140" w:type="dxa"/>
              <w:bottom w:w="100" w:type="dxa"/>
              <w:right w:w="140" w:type="dxa"/>
            </w:tcMar>
            <w:vAlign w:val="center"/>
          </w:tcPr>
          <w:p w14:paraId="753800DD" w14:textId="77777777" w:rsidR="00003A27" w:rsidRDefault="00000000">
            <w:pPr>
              <w:spacing w:after="0" w:line="259" w:lineRule="auto"/>
            </w:pPr>
            <w:r>
              <w:rPr>
                <w:sz w:val="19"/>
              </w:rPr>
              <w:t>Global, with deliberate relevance to African and other under-represented research settings</w:t>
            </w:r>
          </w:p>
        </w:tc>
      </w:tr>
      <w:tr w:rsidR="00003A27" w14:paraId="31290CE6" w14:textId="77777777">
        <w:tc>
          <w:tcPr>
            <w:tcW w:w="2200" w:type="dxa"/>
            <w:shd w:val="clear" w:color="auto" w:fill="F4F7F9"/>
            <w:tcMar>
              <w:top w:w="100" w:type="dxa"/>
              <w:left w:w="140" w:type="dxa"/>
              <w:bottom w:w="100" w:type="dxa"/>
              <w:right w:w="140" w:type="dxa"/>
            </w:tcMar>
            <w:vAlign w:val="center"/>
          </w:tcPr>
          <w:p w14:paraId="3080DEDF" w14:textId="77777777" w:rsidR="00003A27" w:rsidRDefault="00000000">
            <w:pPr>
              <w:spacing w:after="0" w:line="259" w:lineRule="auto"/>
            </w:pPr>
            <w:r>
              <w:rPr>
                <w:b/>
                <w:color w:val="12344D"/>
                <w:sz w:val="19"/>
              </w:rPr>
              <w:t>Status</w:t>
            </w:r>
          </w:p>
        </w:tc>
        <w:tc>
          <w:tcPr>
            <w:tcW w:w="7160" w:type="dxa"/>
            <w:tcMar>
              <w:top w:w="100" w:type="dxa"/>
              <w:left w:w="140" w:type="dxa"/>
              <w:bottom w:w="100" w:type="dxa"/>
              <w:right w:w="140" w:type="dxa"/>
            </w:tcMar>
            <w:vAlign w:val="center"/>
          </w:tcPr>
          <w:p w14:paraId="5AF2D6D8" w14:textId="77777777" w:rsidR="00003A27" w:rsidRDefault="00000000">
            <w:pPr>
              <w:spacing w:after="0" w:line="259" w:lineRule="auto"/>
            </w:pPr>
            <w:r>
              <w:rPr>
                <w:sz w:val="19"/>
              </w:rPr>
              <w:t>Open-source, early implementation; suitable for phased validation and cohort expansion</w:t>
            </w:r>
          </w:p>
        </w:tc>
      </w:tr>
      <w:tr w:rsidR="00003A27" w14:paraId="5D086D39" w14:textId="77777777">
        <w:tc>
          <w:tcPr>
            <w:tcW w:w="2200" w:type="dxa"/>
            <w:shd w:val="clear" w:color="auto" w:fill="F4F7F9"/>
            <w:tcMar>
              <w:top w:w="100" w:type="dxa"/>
              <w:left w:w="140" w:type="dxa"/>
              <w:bottom w:w="100" w:type="dxa"/>
              <w:right w:w="140" w:type="dxa"/>
            </w:tcMar>
            <w:vAlign w:val="center"/>
          </w:tcPr>
          <w:p w14:paraId="0EE0AF6C" w14:textId="77777777" w:rsidR="00003A27" w:rsidRDefault="00000000">
            <w:pPr>
              <w:spacing w:after="0" w:line="259" w:lineRule="auto"/>
            </w:pPr>
            <w:r>
              <w:rPr>
                <w:b/>
                <w:color w:val="12344D"/>
                <w:sz w:val="19"/>
              </w:rPr>
              <w:t>Project website</w:t>
            </w:r>
          </w:p>
        </w:tc>
        <w:tc>
          <w:tcPr>
            <w:tcW w:w="7160" w:type="dxa"/>
            <w:tcMar>
              <w:top w:w="100" w:type="dxa"/>
              <w:left w:w="140" w:type="dxa"/>
              <w:bottom w:w="100" w:type="dxa"/>
              <w:right w:w="140" w:type="dxa"/>
            </w:tcMar>
            <w:vAlign w:val="center"/>
          </w:tcPr>
          <w:p w14:paraId="5CB669DF" w14:textId="77777777" w:rsidR="00003A27" w:rsidRDefault="00000000">
            <w:pPr>
              <w:spacing w:after="0" w:line="259" w:lineRule="auto"/>
            </w:pPr>
            <w:r>
              <w:rPr>
                <w:sz w:val="19"/>
              </w:rPr>
              <w:t>github.com/ubeffiong/plasbench</w:t>
            </w:r>
          </w:p>
        </w:tc>
      </w:tr>
    </w:tbl>
    <w:p w14:paraId="2752FC0D" w14:textId="77777777" w:rsidR="00003A27" w:rsidRDefault="00000000">
      <w:pPr>
        <w:spacing w:before="720" w:after="0"/>
      </w:pPr>
      <w:r>
        <w:rPr>
          <w:i/>
          <w:color w:val="64748B"/>
          <w:sz w:val="19"/>
        </w:rPr>
        <w:t>Prepared for research partners, public-health stakeholders, and funding organisations</w:t>
      </w:r>
    </w:p>
    <w:p w14:paraId="359C381E" w14:textId="77777777" w:rsidR="00003A27" w:rsidRDefault="00000000">
      <w:r>
        <w:br w:type="page"/>
      </w:r>
    </w:p>
    <w:p w14:paraId="4521B5FC" w14:textId="77777777" w:rsidR="00003A27" w:rsidRDefault="00000000">
      <w:pPr>
        <w:pStyle w:val="Heading1"/>
      </w:pPr>
      <w:r>
        <w:lastRenderedPageBreak/>
        <w:t>A reproducible benchmark for trustworthy plasmid research and antimicrobial-resistance surveillance</w:t>
      </w:r>
    </w:p>
    <w:p w14:paraId="394F4B48" w14:textId="77777777" w:rsidR="00003A27" w:rsidRDefault="00000000">
      <w:pPr>
        <w:pStyle w:val="Heading1"/>
      </w:pPr>
      <w:r>
        <w:t>Executive Summary</w:t>
      </w:r>
    </w:p>
    <w:p w14:paraId="3207CE9E" w14:textId="77777777" w:rsidR="00003A27" w:rsidRDefault="00000000">
      <w:r>
        <w:t xml:space="preserve">Antimicrobial resistance is increasingly driven by plasmids: small, transferable pieces of DNA that can carry resistance and virulence genes between bacteria. Laboratories can now generate bacterial genome data more readily than ever, but an important practical question remains difficult to answer: </w:t>
      </w:r>
      <w:r>
        <w:rPr>
          <w:b/>
        </w:rPr>
        <w:t>which software method most accurately reconstructs plasmids from routine sequencing data?</w:t>
      </w:r>
    </w:p>
    <w:p w14:paraId="708E457C" w14:textId="77777777" w:rsidR="00003A27" w:rsidRDefault="00000000">
      <w:r>
        <w:t xml:space="preserve">PlasBench is an open, reproducible platform designed to answer that question transparently. It evaluates plasmid-reconstruction methods against a trusted complete genome from the </w:t>
      </w:r>
      <w:r>
        <w:rPr>
          <w:i/>
        </w:rPr>
        <w:t>same bacterial isolate</w:t>
      </w:r>
      <w:r>
        <w:t>. Instead of relying on claims from individual software packages, PlasBench applies one consistent assessment method to all tools and produces an understandable report showing accuracy, limitations, data quality, uncertainty, and downloadable evidence.</w:t>
      </w:r>
    </w:p>
    <w:p w14:paraId="1D0C87D5" w14:textId="77777777" w:rsidR="00003A27" w:rsidRDefault="00000000">
      <w:r>
        <w:t>The platform is intended to help researchers and programmes make better-informed method choices before using results for AMR research, outbreak investigation, One Health surveillance, or scientific publication. It is not a diagnostic device and does not replace laboratory confirmation. Its value is to make analytical choices visible, comparable, and reproducible.</w:t>
      </w:r>
    </w:p>
    <w:p w14:paraId="04C3AB82" w14:textId="77777777" w:rsidR="00003A27" w:rsidRDefault="00000000">
      <w:r>
        <w:t>Investment in PlasBench would support three connected needs:</w:t>
      </w:r>
    </w:p>
    <w:p w14:paraId="61974562" w14:textId="77777777" w:rsidR="00003A27" w:rsidRDefault="00000000">
      <w:pPr>
        <w:pStyle w:val="ListBullet"/>
        <w:spacing w:after="80" w:line="269" w:lineRule="auto"/>
        <w:ind w:left="720"/>
      </w:pPr>
      <w:r>
        <w:t>A reliable public benchmark resource for plasmid reconstruction.</w:t>
      </w:r>
    </w:p>
    <w:p w14:paraId="034DB26C" w14:textId="77777777" w:rsidR="00003A27" w:rsidRDefault="00000000">
      <w:pPr>
        <w:pStyle w:val="ListBullet"/>
        <w:spacing w:after="80" w:line="269" w:lineRule="auto"/>
        <w:ind w:left="720"/>
      </w:pPr>
      <w:r>
        <w:t>Inclusion of diverse bacterial isolates, especially from African clinical, veterinary, food, and environmental settings that are presently under-represented in method evaluations.</w:t>
      </w:r>
    </w:p>
    <w:p w14:paraId="56C28956" w14:textId="77777777" w:rsidR="00003A27" w:rsidRDefault="00000000">
      <w:pPr>
        <w:pStyle w:val="ListBullet"/>
        <w:spacing w:after="80" w:line="269" w:lineRule="auto"/>
        <w:ind w:left="720"/>
      </w:pPr>
      <w:r>
        <w:t>Sustainable local capacity to run, audit, adapt, and contribute to genomic AMR research without dependence on closed commercial systems.</w:t>
      </w:r>
    </w:p>
    <w:p w14:paraId="001B999E" w14:textId="77777777" w:rsidR="00003A27" w:rsidRDefault="00000000">
      <w:pPr>
        <w:pStyle w:val="Heading1"/>
      </w:pPr>
      <w:r>
        <w:t>The Problem</w:t>
      </w:r>
    </w:p>
    <w:p w14:paraId="3DE0DFB2" w14:textId="77777777" w:rsidR="00003A27" w:rsidRDefault="00000000">
      <w:r>
        <w:t>Plasmids matter because they can move important genes between bacteria. A plasmid carrying resistance to last-line antibiotics can spread within hospitals, communities, animals, food systems, or water environments. Understanding whether resistance genes are located on plasmids, and whether those plasmids are correctly reconstructed, is therefore central to AMR research and surveillance.</w:t>
      </w:r>
    </w:p>
    <w:p w14:paraId="76F28A53" w14:textId="77777777" w:rsidR="00003A27" w:rsidRDefault="00000000">
      <w:r>
        <w:t>Most bacterial sequencing projects use short-read data because it is accessible and affordable. Short reads are powerful, but plasmids are difficult to reconstruct from them: plasmids often contain repeated sequences, vary in copy number, and may share sequence with chromosomes or other plasmids. Different software tools can therefore produce different answers from the same sample.</w:t>
      </w:r>
    </w:p>
    <w:p w14:paraId="51B1987F" w14:textId="77777777" w:rsidR="00003A27" w:rsidRDefault="00000000">
      <w:r>
        <w:t>Researchers currently face four connected challenges:</w:t>
      </w:r>
    </w:p>
    <w:p w14:paraId="25343434" w14:textId="77777777" w:rsidR="00003A27" w:rsidRDefault="00000000">
      <w:pPr>
        <w:pStyle w:val="ListBullet"/>
        <w:spacing w:after="80" w:line="269" w:lineRule="auto"/>
        <w:ind w:left="720"/>
      </w:pPr>
      <w:r>
        <w:rPr>
          <w:b/>
        </w:rPr>
        <w:t>No single universally trusted tool.</w:t>
      </w:r>
      <w:r>
        <w:t xml:space="preserve"> Different tools have different strengths, assumptions, and output formats.</w:t>
      </w:r>
    </w:p>
    <w:p w14:paraId="5EC3703A" w14:textId="77777777" w:rsidR="00003A27" w:rsidRDefault="00000000">
      <w:pPr>
        <w:pStyle w:val="ListBullet"/>
        <w:spacing w:after="80" w:line="269" w:lineRule="auto"/>
        <w:ind w:left="720"/>
      </w:pPr>
      <w:r>
        <w:rPr>
          <w:b/>
        </w:rPr>
        <w:lastRenderedPageBreak/>
        <w:t>Inconsistent evaluation.</w:t>
      </w:r>
      <w:r>
        <w:t xml:space="preserve"> Tool developers and individual studies often use different datasets and different definitions of success, making results hard to compare.</w:t>
      </w:r>
    </w:p>
    <w:p w14:paraId="0AB549E6" w14:textId="77777777" w:rsidR="00003A27" w:rsidRDefault="00000000">
      <w:pPr>
        <w:pStyle w:val="ListBullet"/>
        <w:spacing w:after="80" w:line="269" w:lineRule="auto"/>
        <w:ind w:left="720"/>
      </w:pPr>
      <w:r>
        <w:rPr>
          <w:b/>
        </w:rPr>
        <w:t>Limited representation.</w:t>
      </w:r>
      <w:r>
        <w:t xml:space="preserve"> Public evaluations commonly over-represent a small number of organisms, regions, and well-resourced laboratories. African clinical and environmental isolates are often absent or insufficiently documented.</w:t>
      </w:r>
    </w:p>
    <w:p w14:paraId="67E0B473" w14:textId="77777777" w:rsidR="00003A27" w:rsidRDefault="00000000">
      <w:pPr>
        <w:pStyle w:val="ListBullet"/>
        <w:spacing w:after="80" w:line="269" w:lineRule="auto"/>
        <w:ind w:left="720"/>
      </w:pPr>
      <w:r>
        <w:rPr>
          <w:b/>
        </w:rPr>
        <w:t>Weak reproducibility.</w:t>
      </w:r>
      <w:r>
        <w:t xml:space="preserve"> Results may omit exact tool versions, reference quality, input provenance, parameter settings, runtime, and failure information. This makes it difficult to reproduce or trust a ranking.</w:t>
      </w:r>
    </w:p>
    <w:p w14:paraId="32778CF3" w14:textId="77777777" w:rsidR="00003A27" w:rsidRDefault="00000000">
      <w:r>
        <w:t>These gaps can lead to overconfident conclusions. A method that appears accurate in one dataset may perform poorly with a different species, plasmid size, sequencing depth, or local epidemiological context.</w:t>
      </w:r>
    </w:p>
    <w:p w14:paraId="2F6712B5" w14:textId="77777777" w:rsidR="00003A27" w:rsidRDefault="00000000">
      <w:pPr>
        <w:pStyle w:val="Heading1"/>
      </w:pPr>
      <w:r>
        <w:t>The Proposed Solution</w:t>
      </w:r>
    </w:p>
    <w:p w14:paraId="204567B9" w14:textId="77777777" w:rsidR="00003A27" w:rsidRDefault="00000000">
      <w:r>
        <w:t>PlasBench is a transparent evaluation framework that compares plasmid-reconstruction tools using the same biological truth source and the same performance measures.</w:t>
      </w:r>
    </w:p>
    <w:p w14:paraId="21A8E001" w14:textId="77777777" w:rsidR="00003A27" w:rsidRDefault="00000000">
      <w:r>
        <w:t>For each bacterial isolate, PlasBench uses:</w:t>
      </w:r>
    </w:p>
    <w:p w14:paraId="66A637E4" w14:textId="77777777" w:rsidR="00003A27" w:rsidRDefault="00000000">
      <w:pPr>
        <w:pStyle w:val="ListNumber"/>
        <w:spacing w:after="80" w:line="269" w:lineRule="auto"/>
        <w:ind w:left="720"/>
      </w:pPr>
      <w:r>
        <w:t>Routine paired short-read sequence data, typically Illumina reads.</w:t>
      </w:r>
    </w:p>
    <w:p w14:paraId="11BB0225" w14:textId="77777777" w:rsidR="00003A27" w:rsidRDefault="00000000">
      <w:pPr>
        <w:pStyle w:val="ListNumber"/>
        <w:spacing w:after="80" w:line="269" w:lineRule="auto"/>
        <w:ind w:left="720"/>
      </w:pPr>
      <w:r>
        <w:t>A complete long-read or hybrid reference genome from that same isolate as the trusted comparison standard.</w:t>
      </w:r>
    </w:p>
    <w:p w14:paraId="4E4DF086" w14:textId="77777777" w:rsidR="00003A27" w:rsidRDefault="00000000">
      <w:pPr>
        <w:pStyle w:val="ListNumber"/>
        <w:spacing w:after="80" w:line="269" w:lineRule="auto"/>
        <w:ind w:left="720"/>
      </w:pPr>
      <w:r>
        <w:t>Several plasmid-reconstruction methods run under documented conditions.</w:t>
      </w:r>
    </w:p>
    <w:p w14:paraId="1F112F88" w14:textId="77777777" w:rsidR="00003A27" w:rsidRDefault="00000000">
      <w:pPr>
        <w:pStyle w:val="ListNumber"/>
        <w:spacing w:after="80" w:line="269" w:lineRule="auto"/>
        <w:ind w:left="720"/>
      </w:pPr>
      <w:r>
        <w:t>A common scoring approach that measures how accurately each method recovers known plasmid sequence while avoiding chromosome misclassification.</w:t>
      </w:r>
    </w:p>
    <w:p w14:paraId="715928A1" w14:textId="77777777" w:rsidR="00003A27" w:rsidRDefault="00000000">
      <w:r>
        <w:t>The platform then produces an interactive HTML report, machine-readable tables, a reproducibility manifest, logs, and downloadable outputs. A researcher can see not only which method ranked highest overall, but also whether performance changes by species, sample source, sequencing depth, plasmid characteristics, tool version, or data-quality category.</w:t>
      </w:r>
    </w:p>
    <w:p w14:paraId="0478997C" w14:textId="77777777" w:rsidR="00003A27" w:rsidRDefault="00000000">
      <w:pPr>
        <w:pStyle w:val="Heading1"/>
      </w:pPr>
      <w:r>
        <w:t>What PlasBench Delivers</w:t>
      </w:r>
    </w:p>
    <w:p w14:paraId="21A4DA3A" w14:textId="77777777" w:rsidR="00003A27" w:rsidRDefault="00000000">
      <w:pPr>
        <w:pStyle w:val="Heading2"/>
      </w:pPr>
      <w:r>
        <w:t>Evidence for method selection</w:t>
      </w:r>
    </w:p>
    <w:p w14:paraId="4C54B50B" w14:textId="77777777" w:rsidR="00003A27" w:rsidRDefault="00000000">
      <w:r>
        <w:t>PlasBench gives laboratories a structured way to choose an appropriate plasmid-reconstruction workflow for their own research question and sample type. It measures recovery of expected plasmid sequence, incorrect chromosome assignment, and balance between these outcomes.</w:t>
      </w:r>
    </w:p>
    <w:p w14:paraId="68B235E5" w14:textId="77777777" w:rsidR="00003A27" w:rsidRDefault="00000000">
      <w:pPr>
        <w:pStyle w:val="Heading2"/>
      </w:pPr>
      <w:r>
        <w:t>A clear, auditable report</w:t>
      </w:r>
    </w:p>
    <w:p w14:paraId="17CA764C" w14:textId="77777777" w:rsidR="00003A27" w:rsidRDefault="00000000">
      <w:r>
        <w:t>Each run produces a self-contained dashboard that includes:</w:t>
      </w:r>
    </w:p>
    <w:p w14:paraId="4D290EDC" w14:textId="77777777" w:rsidR="00003A27" w:rsidRDefault="00000000">
      <w:pPr>
        <w:pStyle w:val="ListBullet"/>
        <w:spacing w:after="80" w:line="269" w:lineRule="auto"/>
        <w:ind w:left="720"/>
      </w:pPr>
      <w:r>
        <w:t>An overall leaderboard and per-sample results.</w:t>
      </w:r>
    </w:p>
    <w:p w14:paraId="3B2BF22D" w14:textId="77777777" w:rsidR="00003A27" w:rsidRDefault="00000000">
      <w:pPr>
        <w:pStyle w:val="ListBullet"/>
        <w:spacing w:after="80" w:line="269" w:lineRule="auto"/>
        <w:ind w:left="720"/>
      </w:pPr>
      <w:r>
        <w:t>Plain-language interpretation of key measures, including precision, recall, F1 score, plasmid recovery, uncertainty intervals, and tool failures.</w:t>
      </w:r>
    </w:p>
    <w:p w14:paraId="1FF6838A" w14:textId="77777777" w:rsidR="00003A27" w:rsidRDefault="00000000">
      <w:pPr>
        <w:pStyle w:val="ListBullet"/>
        <w:spacing w:after="80" w:line="269" w:lineRule="auto"/>
        <w:ind w:left="720"/>
      </w:pPr>
      <w:r>
        <w:lastRenderedPageBreak/>
        <w:t>Colour-coded performance indicators, charts, filters, and drill-down views.</w:t>
      </w:r>
    </w:p>
    <w:p w14:paraId="4F20FAC8" w14:textId="77777777" w:rsidR="00003A27" w:rsidRDefault="00000000">
      <w:pPr>
        <w:pStyle w:val="ListBullet"/>
        <w:spacing w:after="80" w:line="269" w:lineRule="auto"/>
        <w:ind w:left="720"/>
      </w:pPr>
      <w:r>
        <w:t>Sample and tool metadata, parameters, versions, checksums, runtime information, and available database/container identity.</w:t>
      </w:r>
    </w:p>
    <w:p w14:paraId="3F41A698" w14:textId="77777777" w:rsidR="00003A27" w:rsidRDefault="00000000">
      <w:pPr>
        <w:pStyle w:val="ListBullet"/>
        <w:spacing w:after="80" w:line="269" w:lineRule="auto"/>
        <w:ind w:left="720"/>
      </w:pPr>
      <w:r>
        <w:t>A file explorer for downloading score tables, logs, plots, prediction files, and the run manifest.</w:t>
      </w:r>
    </w:p>
    <w:p w14:paraId="54A0EA30" w14:textId="77777777" w:rsidR="00003A27" w:rsidRDefault="00000000">
      <w:pPr>
        <w:pStyle w:val="Heading2"/>
      </w:pPr>
      <w:r>
        <w:t>Fair comparison across tools</w:t>
      </w:r>
    </w:p>
    <w:p w14:paraId="3C450C87" w14:textId="77777777" w:rsidR="00003A27" w:rsidRDefault="00000000">
      <w:r>
        <w:t>Different tools describe plasmids differently. Some label pieces of an assembly as plasmid; others attempt to build plasmid sequences directly. PlasBench translates their outputs to a common comparison basis before scoring them, making the comparison more defensible than a simple count of reported sequences.</w:t>
      </w:r>
    </w:p>
    <w:p w14:paraId="3FFE6FC2" w14:textId="77777777" w:rsidR="00003A27" w:rsidRDefault="00000000">
      <w:pPr>
        <w:pStyle w:val="Heading2"/>
      </w:pPr>
      <w:r>
        <w:t>Cohort curation safeguards</w:t>
      </w:r>
    </w:p>
    <w:p w14:paraId="1F1241B7" w14:textId="77777777" w:rsidR="00003A27" w:rsidRDefault="00000000">
      <w:r>
        <w:t>PlasBench does not treat every public genome record as reliable truth. A released benchmark cohort must meet strict requirements: a complete plasmid-containing reference, explicit evidence of long-read or hybrid reference technology, matched paired short-read data, and matching sample/project identifiers. Candidates that do not meet these rules are retained with rejection reasons rather than quietly included.</w:t>
      </w:r>
    </w:p>
    <w:p w14:paraId="1A6FD3F6" w14:textId="77777777" w:rsidR="00003A27" w:rsidRDefault="00000000">
      <w:pPr>
        <w:pStyle w:val="Heading2"/>
      </w:pPr>
      <w:r>
        <w:t>Open access and flexible deployment</w:t>
      </w:r>
    </w:p>
    <w:p w14:paraId="4F234CF9" w14:textId="77777777" w:rsidR="00003A27" w:rsidRDefault="00000000">
      <w:r>
        <w:t>The software can run locally on Linux or Windows Subsystem for Linux, in Docker containers, and can be packaged for shared platforms such as Galaxy. Users can analyse their own valid cohorts; PlasBench is not restricted to a predefined list of bacteria or countries.</w:t>
      </w:r>
    </w:p>
    <w:p w14:paraId="184CC6AC" w14:textId="77777777" w:rsidR="00003A27" w:rsidRDefault="00000000">
      <w:pPr>
        <w:pStyle w:val="Heading1"/>
      </w:pPr>
      <w:r>
        <w:t>Who Benefits</w:t>
      </w:r>
    </w:p>
    <w:p w14:paraId="546E82A2" w14:textId="77777777" w:rsidR="00003A27" w:rsidRDefault="00000000">
      <w:r>
        <w:rPr>
          <w:b/>
        </w:rPr>
        <w:t>Researchers and postgraduate trainees</w:t>
      </w:r>
      <w:r>
        <w:t xml:space="preserve"> gain a repeatable framework for comparing methods, producing publication-ready evidence, and learning reproducible genomic practice.</w:t>
      </w:r>
    </w:p>
    <w:p w14:paraId="2E966C00" w14:textId="77777777" w:rsidR="00003A27" w:rsidRDefault="00000000">
      <w:r>
        <w:rPr>
          <w:b/>
        </w:rPr>
        <w:t>Public-health and AMR programmes</w:t>
      </w:r>
      <w:r>
        <w:t xml:space="preserve"> gain more transparent analytical evidence to support surveillance research, method harmonisation, and future guideline development.</w:t>
      </w:r>
    </w:p>
    <w:p w14:paraId="5BBA0C19" w14:textId="77777777" w:rsidR="00003A27" w:rsidRDefault="00000000">
      <w:r>
        <w:rPr>
          <w:b/>
        </w:rPr>
        <w:t>Sequencing centres and reference laboratories</w:t>
      </w:r>
      <w:r>
        <w:t xml:space="preserve"> gain a quality-assurance resource for evaluating pipelines before applying them at scale.</w:t>
      </w:r>
    </w:p>
    <w:p w14:paraId="0B6EFB98" w14:textId="77777777" w:rsidR="00003A27" w:rsidRDefault="00000000">
      <w:r>
        <w:rPr>
          <w:b/>
        </w:rPr>
        <w:t>Universities and African research institutions</w:t>
      </w:r>
      <w:r>
        <w:t xml:space="preserve"> gain an open platform that can be run with local infrastructure, adapted to locally relevant pathogens, and expanded through collaborative data curation.</w:t>
      </w:r>
    </w:p>
    <w:p w14:paraId="3BB6A7E6" w14:textId="77777777" w:rsidR="00003A27" w:rsidRDefault="00000000">
      <w:r>
        <w:rPr>
          <w:b/>
        </w:rPr>
        <w:t>Funders and policy stakeholders</w:t>
      </w:r>
      <w:r>
        <w:t xml:space="preserve"> gain a measurable investment in open, reusable digital public infrastructure rather than a one-off analysis. The resulting cohorts, documentation, reports, and reproducibility records can support multiple studies over time.</w:t>
      </w:r>
    </w:p>
    <w:p w14:paraId="6953E670" w14:textId="77777777" w:rsidR="00003A27" w:rsidRDefault="00000000">
      <w:pPr>
        <w:pStyle w:val="Heading1"/>
      </w:pPr>
      <w:r>
        <w:lastRenderedPageBreak/>
        <w:t>Scientific and Public-Health Relevance</w:t>
      </w:r>
    </w:p>
    <w:p w14:paraId="52BC4641" w14:textId="77777777" w:rsidR="00003A27" w:rsidRDefault="00000000">
      <w:r>
        <w:t>PlasBench supports a One Health view of AMR. It can be used with bacterial isolates from people, animals, food, water, soil, and health-care environments, provided each sample has the required matched sequence evidence. This enables future questions such as:</w:t>
      </w:r>
    </w:p>
    <w:p w14:paraId="1BE01736" w14:textId="77777777" w:rsidR="00003A27" w:rsidRDefault="00000000">
      <w:pPr>
        <w:pStyle w:val="ListBullet"/>
        <w:spacing w:after="80" w:line="269" w:lineRule="auto"/>
        <w:ind w:left="720"/>
      </w:pPr>
      <w:r>
        <w:t>Which reconstruction methods are most dependable for high-priority bacterial pathogens?</w:t>
      </w:r>
    </w:p>
    <w:p w14:paraId="7EE74629" w14:textId="77777777" w:rsidR="00003A27" w:rsidRDefault="00000000">
      <w:pPr>
        <w:pStyle w:val="ListBullet"/>
        <w:spacing w:after="80" w:line="269" w:lineRule="auto"/>
        <w:ind w:left="720"/>
      </w:pPr>
      <w:r>
        <w:t>Does performance vary between clinical and environmental isolates?</w:t>
      </w:r>
    </w:p>
    <w:p w14:paraId="097B810B" w14:textId="77777777" w:rsidR="00003A27" w:rsidRDefault="00000000">
      <w:pPr>
        <w:pStyle w:val="ListBullet"/>
        <w:spacing w:after="80" w:line="269" w:lineRule="auto"/>
        <w:ind w:left="720"/>
      </w:pPr>
      <w:r>
        <w:t>How much sequencing depth is needed before plasmid recovery becomes reliable?</w:t>
      </w:r>
    </w:p>
    <w:p w14:paraId="62123712" w14:textId="77777777" w:rsidR="00003A27" w:rsidRDefault="00000000">
      <w:pPr>
        <w:pStyle w:val="ListBullet"/>
        <w:spacing w:after="80" w:line="269" w:lineRule="auto"/>
        <w:ind w:left="720"/>
      </w:pPr>
      <w:r>
        <w:t>Which methods preserve separate plasmids rather than combining them or splitting them incorrectly?</w:t>
      </w:r>
    </w:p>
    <w:p w14:paraId="6FD79097" w14:textId="77777777" w:rsidR="00003A27" w:rsidRDefault="00000000">
      <w:pPr>
        <w:pStyle w:val="ListBullet"/>
        <w:spacing w:after="80" w:line="269" w:lineRule="auto"/>
        <w:ind w:left="720"/>
      </w:pPr>
      <w:r>
        <w:t>How reliably are plasmid-borne AMR genes recovered?</w:t>
      </w:r>
    </w:p>
    <w:p w14:paraId="3BD2F601" w14:textId="77777777" w:rsidR="00003A27" w:rsidRDefault="00000000">
      <w:r>
        <w:t>The platform does not claim that a computational prediction proves plasmid transmission or clinical risk. Rather, it provides the evidence base needed to select and interpret computational methods responsibly.</w:t>
      </w:r>
    </w:p>
    <w:p w14:paraId="273455AA" w14:textId="77777777" w:rsidR="00003A27" w:rsidRDefault="00000000">
      <w:pPr>
        <w:pStyle w:val="Heading1"/>
      </w:pPr>
      <w:r>
        <w:t>Implementation Approach</w:t>
      </w:r>
    </w:p>
    <w:p w14:paraId="1DC7114F" w14:textId="77777777" w:rsidR="00003A27" w:rsidRDefault="00000000">
      <w:pPr>
        <w:pStyle w:val="Heading2"/>
      </w:pPr>
      <w:r>
        <w:t>Phase 1: Consolidate the open platform</w:t>
      </w:r>
    </w:p>
    <w:p w14:paraId="78EFC02A" w14:textId="77777777" w:rsidR="00003A27" w:rsidRDefault="00000000">
      <w:r>
        <w:t>This phase maintains and tests the core software, documentation, containerised environment, automated reporting, and quality-control checks. It also establishes user support materials, example datasets, and clear boundaries around appropriate use.</w:t>
      </w:r>
    </w:p>
    <w:p w14:paraId="20ABFB81" w14:textId="77777777" w:rsidR="00003A27" w:rsidRDefault="00000000">
      <w:r>
        <w:rPr>
          <w:b/>
        </w:rPr>
        <w:t>Outputs:</w:t>
      </w:r>
      <w:r>
        <w:t xml:space="preserve"> stable open-source release, installation guidance, user guide, test suite, reproducible execution environment, and interactive reporting template.</w:t>
      </w:r>
    </w:p>
    <w:p w14:paraId="00DC3B3D" w14:textId="77777777" w:rsidR="00003A27" w:rsidRDefault="00000000">
      <w:pPr>
        <w:pStyle w:val="Heading2"/>
      </w:pPr>
      <w:r>
        <w:t>Phase 2: Build a curated public benchmark cohort</w:t>
      </w:r>
    </w:p>
    <w:p w14:paraId="1BD94F8E" w14:textId="77777777" w:rsidR="00003A27" w:rsidRDefault="00000000">
      <w:r>
        <w:t>This phase develops a released panel of approximately 40-60 rigorously verified isolates. The cohort will seek balance across major bacterial groups, plasmid profiles, read depths, and clinical/environmental/animal sources. It will deliberately pursue African representation without lowering data-quality criteria.</w:t>
      </w:r>
    </w:p>
    <w:p w14:paraId="7ACDBD7F" w14:textId="77777777" w:rsidR="00003A27" w:rsidRDefault="00000000">
      <w:r>
        <w:t>Each candidate will be screened for complete reference quality, long-read/hybrid evidence, exact read/reference linkage, metadata completeness, source publication, and collection context. Records that are promising but incomplete will remain clearly labelled as candidates rather than being promoted to the released cohort.</w:t>
      </w:r>
    </w:p>
    <w:p w14:paraId="41EB9E58" w14:textId="77777777" w:rsidR="00003A27" w:rsidRDefault="00000000">
      <w:r>
        <w:rPr>
          <w:b/>
        </w:rPr>
        <w:t>Outputs:</w:t>
      </w:r>
      <w:r>
        <w:t xml:space="preserve"> versioned cohort, validation lock file, provenance records, curation protocol, release documentation, and a permanent DOI through an approved repository such as Zenodo.</w:t>
      </w:r>
    </w:p>
    <w:p w14:paraId="0726791A" w14:textId="77777777" w:rsidR="00003A27" w:rsidRDefault="00000000">
      <w:pPr>
        <w:pStyle w:val="Heading2"/>
      </w:pPr>
      <w:r>
        <w:lastRenderedPageBreak/>
        <w:t>Phase 3: Comparative analyses and capacity strengthening</w:t>
      </w:r>
    </w:p>
    <w:p w14:paraId="6A0099D5" w14:textId="77777777" w:rsidR="00003A27" w:rsidRDefault="00000000">
      <w:r>
        <w:t>This phase runs the benchmark across the curated panel, undertakes controlled sequencing-depth analyses, evaluates current and emerging tools, and trains participating researchers to reproduce and extend analyses.</w:t>
      </w:r>
    </w:p>
    <w:p w14:paraId="341A73D8" w14:textId="77777777" w:rsidR="00003A27" w:rsidRDefault="00000000">
      <w:r>
        <w:rPr>
          <w:b/>
        </w:rPr>
        <w:t>Outputs:</w:t>
      </w:r>
      <w:r>
        <w:t xml:space="preserve"> comparative report, depth-versus-recovery findings, training materials, workshops or virtual clinics, contributed local cohorts, and manuscripts/policy briefs as appropriate.</w:t>
      </w:r>
    </w:p>
    <w:p w14:paraId="75DAFBC8" w14:textId="77777777" w:rsidR="00003A27" w:rsidRDefault="00000000">
      <w:pPr>
        <w:pStyle w:val="Heading2"/>
      </w:pPr>
      <w:r>
        <w:t>Phase 4: Long-term community stewardship</w:t>
      </w:r>
    </w:p>
    <w:p w14:paraId="6CFA3172" w14:textId="77777777" w:rsidR="00003A27" w:rsidRDefault="00000000">
      <w:r>
        <w:t>This phase establishes a transparent governance model for tool additions, cohort releases, issue reporting, data contributions, versioning, and reproducibility review.</w:t>
      </w:r>
    </w:p>
    <w:p w14:paraId="5547E41D" w14:textId="77777777" w:rsidR="00003A27" w:rsidRDefault="00000000">
      <w:r>
        <w:rPr>
          <w:b/>
        </w:rPr>
        <w:t>Outputs:</w:t>
      </w:r>
      <w:r>
        <w:t xml:space="preserve"> contributor guide, release schedule, advisory group, public roadmap, and sustainable maintenance plan.</w:t>
      </w:r>
    </w:p>
    <w:p w14:paraId="4207168F" w14:textId="77777777" w:rsidR="00003A27" w:rsidRDefault="00000000">
      <w:pPr>
        <w:pStyle w:val="Heading1"/>
      </w:pPr>
      <w:r>
        <w:t>Expected Results and Indicators</w:t>
      </w:r>
    </w:p>
    <w:p w14:paraId="24F9469D" w14:textId="77777777" w:rsidR="00003A27" w:rsidRDefault="00000000">
      <w:r>
        <w:t>Success should be assessed through both scientific quality and equitable use.</w:t>
      </w:r>
    </w:p>
    <w:tbl>
      <w:tblPr>
        <w:tblW w:w="9359" w:type="dxa"/>
        <w:tblInd w:w="120" w:type="dxa"/>
        <w:tblLayout w:type="fixed"/>
        <w:tblLook w:val="04A0" w:firstRow="1" w:lastRow="0" w:firstColumn="1" w:lastColumn="0" w:noHBand="0" w:noVBand="1"/>
      </w:tblPr>
      <w:tblGrid>
        <w:gridCol w:w="3088"/>
        <w:gridCol w:w="6271"/>
      </w:tblGrid>
      <w:tr w:rsidR="00003A27" w14:paraId="6F56DAC6" w14:textId="77777777">
        <w:trPr>
          <w:tblHeader/>
        </w:trPr>
        <w:tc>
          <w:tcPr>
            <w:tcW w:w="3088" w:type="dxa"/>
            <w:shd w:val="clear" w:color="auto" w:fill="12344D"/>
            <w:tcMar>
              <w:top w:w="100" w:type="dxa"/>
              <w:left w:w="140" w:type="dxa"/>
              <w:bottom w:w="100" w:type="dxa"/>
              <w:right w:w="140" w:type="dxa"/>
            </w:tcMar>
            <w:vAlign w:val="center"/>
          </w:tcPr>
          <w:p w14:paraId="0A16C6A3" w14:textId="77777777" w:rsidR="00003A27" w:rsidRDefault="00000000">
            <w:pPr>
              <w:spacing w:after="0" w:line="259" w:lineRule="auto"/>
            </w:pPr>
            <w:r>
              <w:rPr>
                <w:b/>
                <w:color w:val="FFFFFF"/>
                <w:sz w:val="18"/>
              </w:rPr>
              <w:t>Result area</w:t>
            </w:r>
          </w:p>
        </w:tc>
        <w:tc>
          <w:tcPr>
            <w:tcW w:w="6271" w:type="dxa"/>
            <w:shd w:val="clear" w:color="auto" w:fill="12344D"/>
            <w:tcMar>
              <w:top w:w="100" w:type="dxa"/>
              <w:left w:w="140" w:type="dxa"/>
              <w:bottom w:w="100" w:type="dxa"/>
              <w:right w:w="140" w:type="dxa"/>
            </w:tcMar>
            <w:vAlign w:val="center"/>
          </w:tcPr>
          <w:p w14:paraId="26CF0746" w14:textId="77777777" w:rsidR="00003A27" w:rsidRDefault="00000000">
            <w:pPr>
              <w:spacing w:after="0" w:line="259" w:lineRule="auto"/>
            </w:pPr>
            <w:r>
              <w:rPr>
                <w:b/>
                <w:color w:val="FFFFFF"/>
                <w:sz w:val="18"/>
              </w:rPr>
              <w:t>Illustrative indicators</w:t>
            </w:r>
          </w:p>
        </w:tc>
      </w:tr>
      <w:tr w:rsidR="00003A27" w14:paraId="54BAFA7D" w14:textId="77777777">
        <w:tc>
          <w:tcPr>
            <w:tcW w:w="3088" w:type="dxa"/>
            <w:shd w:val="clear" w:color="auto" w:fill="FFFFFF"/>
            <w:tcMar>
              <w:top w:w="100" w:type="dxa"/>
              <w:left w:w="140" w:type="dxa"/>
              <w:bottom w:w="100" w:type="dxa"/>
              <w:right w:w="140" w:type="dxa"/>
            </w:tcMar>
            <w:vAlign w:val="center"/>
          </w:tcPr>
          <w:p w14:paraId="7213CFAB" w14:textId="77777777" w:rsidR="00003A27" w:rsidRDefault="00000000">
            <w:pPr>
              <w:spacing w:after="0" w:line="259" w:lineRule="auto"/>
            </w:pPr>
            <w:r>
              <w:rPr>
                <w:sz w:val="18"/>
              </w:rPr>
              <w:t>Reliable software</w:t>
            </w:r>
          </w:p>
        </w:tc>
        <w:tc>
          <w:tcPr>
            <w:tcW w:w="6271" w:type="dxa"/>
            <w:shd w:val="clear" w:color="auto" w:fill="FFFFFF"/>
            <w:tcMar>
              <w:top w:w="100" w:type="dxa"/>
              <w:left w:w="140" w:type="dxa"/>
              <w:bottom w:w="100" w:type="dxa"/>
              <w:right w:w="140" w:type="dxa"/>
            </w:tcMar>
            <w:vAlign w:val="center"/>
          </w:tcPr>
          <w:p w14:paraId="7D12C921" w14:textId="77777777" w:rsidR="00003A27" w:rsidRDefault="00000000">
            <w:pPr>
              <w:spacing w:after="0" w:line="259" w:lineRule="auto"/>
            </w:pPr>
            <w:r>
              <w:rPr>
                <w:sz w:val="18"/>
              </w:rPr>
              <w:t>Versioned releases; passing automated tests; reproducible container/environment records; documented issue resolution</w:t>
            </w:r>
          </w:p>
        </w:tc>
      </w:tr>
      <w:tr w:rsidR="00003A27" w14:paraId="17B98A5F" w14:textId="77777777">
        <w:tc>
          <w:tcPr>
            <w:tcW w:w="3088" w:type="dxa"/>
            <w:shd w:val="clear" w:color="auto" w:fill="F4F7F9"/>
            <w:tcMar>
              <w:top w:w="100" w:type="dxa"/>
              <w:left w:w="140" w:type="dxa"/>
              <w:bottom w:w="100" w:type="dxa"/>
              <w:right w:w="140" w:type="dxa"/>
            </w:tcMar>
            <w:vAlign w:val="center"/>
          </w:tcPr>
          <w:p w14:paraId="24285EDC" w14:textId="77777777" w:rsidR="00003A27" w:rsidRDefault="00000000">
            <w:pPr>
              <w:spacing w:after="0" w:line="259" w:lineRule="auto"/>
            </w:pPr>
            <w:r>
              <w:rPr>
                <w:sz w:val="18"/>
              </w:rPr>
              <w:t>Quality benchmark data</w:t>
            </w:r>
          </w:p>
        </w:tc>
        <w:tc>
          <w:tcPr>
            <w:tcW w:w="6271" w:type="dxa"/>
            <w:shd w:val="clear" w:color="auto" w:fill="F4F7F9"/>
            <w:tcMar>
              <w:top w:w="100" w:type="dxa"/>
              <w:left w:w="140" w:type="dxa"/>
              <w:bottom w:w="100" w:type="dxa"/>
              <w:right w:w="140" w:type="dxa"/>
            </w:tcMar>
            <w:vAlign w:val="center"/>
          </w:tcPr>
          <w:p w14:paraId="3BCBE268" w14:textId="77777777" w:rsidR="00003A27" w:rsidRDefault="00000000">
            <w:pPr>
              <w:spacing w:after="0" w:line="259" w:lineRule="auto"/>
            </w:pPr>
            <w:r>
              <w:rPr>
                <w:sz w:val="18"/>
              </w:rPr>
              <w:t>Number of fully verified isolates; diversity by organism, geography, source, plasmid profile, and sequencing depth; proportion with complete provenance</w:t>
            </w:r>
          </w:p>
        </w:tc>
      </w:tr>
      <w:tr w:rsidR="00003A27" w14:paraId="435945BC" w14:textId="77777777">
        <w:tc>
          <w:tcPr>
            <w:tcW w:w="3088" w:type="dxa"/>
            <w:shd w:val="clear" w:color="auto" w:fill="FFFFFF"/>
            <w:tcMar>
              <w:top w:w="100" w:type="dxa"/>
              <w:left w:w="140" w:type="dxa"/>
              <w:bottom w:w="100" w:type="dxa"/>
              <w:right w:w="140" w:type="dxa"/>
            </w:tcMar>
            <w:vAlign w:val="center"/>
          </w:tcPr>
          <w:p w14:paraId="43FE2924" w14:textId="77777777" w:rsidR="00003A27" w:rsidRDefault="00000000">
            <w:pPr>
              <w:spacing w:after="0" w:line="259" w:lineRule="auto"/>
            </w:pPr>
            <w:r>
              <w:rPr>
                <w:sz w:val="18"/>
              </w:rPr>
              <w:t>Better research decisions</w:t>
            </w:r>
          </w:p>
        </w:tc>
        <w:tc>
          <w:tcPr>
            <w:tcW w:w="6271" w:type="dxa"/>
            <w:shd w:val="clear" w:color="auto" w:fill="FFFFFF"/>
            <w:tcMar>
              <w:top w:w="100" w:type="dxa"/>
              <w:left w:w="140" w:type="dxa"/>
              <w:bottom w:w="100" w:type="dxa"/>
              <w:right w:w="140" w:type="dxa"/>
            </w:tcMar>
            <w:vAlign w:val="center"/>
          </w:tcPr>
          <w:p w14:paraId="087D20A0" w14:textId="77777777" w:rsidR="00003A27" w:rsidRDefault="00000000">
            <w:pPr>
              <w:spacing w:after="0" w:line="259" w:lineRule="auto"/>
            </w:pPr>
            <w:r>
              <w:rPr>
                <w:sz w:val="18"/>
              </w:rPr>
              <w:t>Number of studies/labs using PlasBench; documented tool-selection decisions; reports generated and shared</w:t>
            </w:r>
          </w:p>
        </w:tc>
      </w:tr>
      <w:tr w:rsidR="00003A27" w14:paraId="3F2D2A51" w14:textId="77777777">
        <w:tc>
          <w:tcPr>
            <w:tcW w:w="3088" w:type="dxa"/>
            <w:shd w:val="clear" w:color="auto" w:fill="F4F7F9"/>
            <w:tcMar>
              <w:top w:w="100" w:type="dxa"/>
              <w:left w:w="140" w:type="dxa"/>
              <w:bottom w:w="100" w:type="dxa"/>
              <w:right w:w="140" w:type="dxa"/>
            </w:tcMar>
            <w:vAlign w:val="center"/>
          </w:tcPr>
          <w:p w14:paraId="52D50C32" w14:textId="77777777" w:rsidR="00003A27" w:rsidRDefault="00000000">
            <w:pPr>
              <w:spacing w:after="0" w:line="259" w:lineRule="auto"/>
            </w:pPr>
            <w:r>
              <w:rPr>
                <w:sz w:val="18"/>
              </w:rPr>
              <w:t>Capacity strengthening</w:t>
            </w:r>
          </w:p>
        </w:tc>
        <w:tc>
          <w:tcPr>
            <w:tcW w:w="6271" w:type="dxa"/>
            <w:shd w:val="clear" w:color="auto" w:fill="F4F7F9"/>
            <w:tcMar>
              <w:top w:w="100" w:type="dxa"/>
              <w:left w:w="140" w:type="dxa"/>
              <w:bottom w:w="100" w:type="dxa"/>
              <w:right w:w="140" w:type="dxa"/>
            </w:tcMar>
            <w:vAlign w:val="center"/>
          </w:tcPr>
          <w:p w14:paraId="5241BE44" w14:textId="77777777" w:rsidR="00003A27" w:rsidRDefault="00000000">
            <w:pPr>
              <w:spacing w:after="0" w:line="259" w:lineRule="auto"/>
            </w:pPr>
            <w:r>
              <w:rPr>
                <w:sz w:val="18"/>
              </w:rPr>
              <w:t>Researchers trained; institutions able to run the workflow locally; contributed cohorts reviewed and reused</w:t>
            </w:r>
          </w:p>
        </w:tc>
      </w:tr>
      <w:tr w:rsidR="00003A27" w14:paraId="5C17EC11" w14:textId="77777777">
        <w:tc>
          <w:tcPr>
            <w:tcW w:w="3088" w:type="dxa"/>
            <w:shd w:val="clear" w:color="auto" w:fill="FFFFFF"/>
            <w:tcMar>
              <w:top w:w="100" w:type="dxa"/>
              <w:left w:w="140" w:type="dxa"/>
              <w:bottom w:w="100" w:type="dxa"/>
              <w:right w:w="140" w:type="dxa"/>
            </w:tcMar>
            <w:vAlign w:val="center"/>
          </w:tcPr>
          <w:p w14:paraId="42BD49AE" w14:textId="77777777" w:rsidR="00003A27" w:rsidRDefault="00000000">
            <w:pPr>
              <w:spacing w:after="0" w:line="259" w:lineRule="auto"/>
            </w:pPr>
            <w:r>
              <w:rPr>
                <w:sz w:val="18"/>
              </w:rPr>
              <w:t>Open-science value</w:t>
            </w:r>
          </w:p>
        </w:tc>
        <w:tc>
          <w:tcPr>
            <w:tcW w:w="6271" w:type="dxa"/>
            <w:shd w:val="clear" w:color="auto" w:fill="FFFFFF"/>
            <w:tcMar>
              <w:top w:w="100" w:type="dxa"/>
              <w:left w:w="140" w:type="dxa"/>
              <w:bottom w:w="100" w:type="dxa"/>
              <w:right w:w="140" w:type="dxa"/>
            </w:tcMar>
            <w:vAlign w:val="center"/>
          </w:tcPr>
          <w:p w14:paraId="72C07365" w14:textId="77777777" w:rsidR="00003A27" w:rsidRDefault="00000000">
            <w:pPr>
              <w:spacing w:after="0" w:line="259" w:lineRule="auto"/>
            </w:pPr>
            <w:r>
              <w:rPr>
                <w:sz w:val="18"/>
              </w:rPr>
              <w:t>Public code, documentation, release DOI, reusable reports, citation/download metrics, and external contributions</w:t>
            </w:r>
          </w:p>
        </w:tc>
      </w:tr>
      <w:tr w:rsidR="00003A27" w14:paraId="34C3CAF4" w14:textId="77777777">
        <w:tc>
          <w:tcPr>
            <w:tcW w:w="3088" w:type="dxa"/>
            <w:shd w:val="clear" w:color="auto" w:fill="F4F7F9"/>
            <w:tcMar>
              <w:top w:w="100" w:type="dxa"/>
              <w:left w:w="140" w:type="dxa"/>
              <w:bottom w:w="100" w:type="dxa"/>
              <w:right w:w="140" w:type="dxa"/>
            </w:tcMar>
            <w:vAlign w:val="center"/>
          </w:tcPr>
          <w:p w14:paraId="1CC8241E" w14:textId="77777777" w:rsidR="00003A27" w:rsidRDefault="00000000">
            <w:pPr>
              <w:spacing w:after="0" w:line="259" w:lineRule="auto"/>
            </w:pPr>
            <w:r>
              <w:rPr>
                <w:sz w:val="18"/>
              </w:rPr>
              <w:t>Equity and representation</w:t>
            </w:r>
          </w:p>
        </w:tc>
        <w:tc>
          <w:tcPr>
            <w:tcW w:w="6271" w:type="dxa"/>
            <w:shd w:val="clear" w:color="auto" w:fill="F4F7F9"/>
            <w:tcMar>
              <w:top w:w="100" w:type="dxa"/>
              <w:left w:w="140" w:type="dxa"/>
              <w:bottom w:w="100" w:type="dxa"/>
              <w:right w:w="140" w:type="dxa"/>
            </w:tcMar>
            <w:vAlign w:val="center"/>
          </w:tcPr>
          <w:p w14:paraId="451E4181" w14:textId="77777777" w:rsidR="00003A27" w:rsidRDefault="00000000">
            <w:pPr>
              <w:spacing w:after="0" w:line="259" w:lineRule="auto"/>
            </w:pPr>
            <w:r>
              <w:rPr>
                <w:sz w:val="18"/>
              </w:rPr>
              <w:t>African and other under-represented isolates included only when evidence standards are met; partnerships contributing local expertise and metadata review</w:t>
            </w:r>
          </w:p>
        </w:tc>
      </w:tr>
    </w:tbl>
    <w:p w14:paraId="564DCB5B" w14:textId="77777777" w:rsidR="00003A27" w:rsidRDefault="00003A27">
      <w:pPr>
        <w:spacing w:after="60"/>
      </w:pPr>
    </w:p>
    <w:p w14:paraId="017F3E4D" w14:textId="77777777" w:rsidR="00003A27" w:rsidRDefault="00000000">
      <w:pPr>
        <w:pStyle w:val="Heading1"/>
      </w:pPr>
      <w:r>
        <w:t>Data Quality, Ethics, and Responsible Use</w:t>
      </w:r>
    </w:p>
    <w:p w14:paraId="0985B417" w14:textId="77777777" w:rsidR="00003A27" w:rsidRDefault="00000000">
      <w:r>
        <w:t>PlasBench is designed around responsible handling of public genomic data and transparent limitations.</w:t>
      </w:r>
    </w:p>
    <w:p w14:paraId="695A9EF6" w14:textId="77777777" w:rsidR="00003A27" w:rsidRDefault="00000000">
      <w:pPr>
        <w:pStyle w:val="ListBullet"/>
        <w:spacing w:after="80" w:line="269" w:lineRule="auto"/>
        <w:ind w:left="720"/>
      </w:pPr>
      <w:r>
        <w:t>It uses publicly available accessions or user-provided data with appropriate permission.</w:t>
      </w:r>
    </w:p>
    <w:p w14:paraId="54912915" w14:textId="77777777" w:rsidR="00003A27" w:rsidRDefault="00000000">
      <w:pPr>
        <w:pStyle w:val="ListBullet"/>
        <w:spacing w:after="80" w:line="269" w:lineRule="auto"/>
        <w:ind w:left="720"/>
      </w:pPr>
      <w:r>
        <w:t>It retains provenance, checksums, parameters, versions, and outputs to support reproducibility.</w:t>
      </w:r>
    </w:p>
    <w:p w14:paraId="5FE1E763" w14:textId="77777777" w:rsidR="00003A27" w:rsidRDefault="00000000">
      <w:pPr>
        <w:pStyle w:val="ListBullet"/>
        <w:spacing w:after="80" w:line="269" w:lineRule="auto"/>
        <w:ind w:left="720"/>
      </w:pPr>
      <w:r>
        <w:lastRenderedPageBreak/>
        <w:t>It does not require patient-identifying information and should use de-identified metadata only.</w:t>
      </w:r>
    </w:p>
    <w:p w14:paraId="7876BC38" w14:textId="77777777" w:rsidR="00003A27" w:rsidRDefault="00000000">
      <w:pPr>
        <w:pStyle w:val="ListBullet"/>
        <w:spacing w:after="80" w:line="269" w:lineRule="auto"/>
        <w:ind w:left="720"/>
      </w:pPr>
      <w:r>
        <w:t>It does not make clinical diagnoses, recommend treatment, or replace laboratory confirmation.</w:t>
      </w:r>
    </w:p>
    <w:p w14:paraId="7E1FA8D3" w14:textId="77777777" w:rsidR="00003A27" w:rsidRDefault="00000000">
      <w:pPr>
        <w:pStyle w:val="ListBullet"/>
        <w:spacing w:after="80" w:line="269" w:lineRule="auto"/>
        <w:ind w:left="720"/>
      </w:pPr>
      <w:r>
        <w:t>It does not claim biological matching solely from a database label; strict metadata checks are combined with curator review.</w:t>
      </w:r>
    </w:p>
    <w:p w14:paraId="1F9CA9DB" w14:textId="77777777" w:rsidR="00003A27" w:rsidRDefault="00000000">
      <w:pPr>
        <w:pStyle w:val="ListBullet"/>
        <w:spacing w:after="80" w:line="269" w:lineRule="auto"/>
        <w:ind w:left="720"/>
      </w:pPr>
      <w:r>
        <w:t>It distinguishes verified released cohorts from candidate records and retains reasons why candidates were rejected.</w:t>
      </w:r>
    </w:p>
    <w:p w14:paraId="582CEC22" w14:textId="77777777" w:rsidR="00003A27" w:rsidRDefault="00000000">
      <w:r>
        <w:t>For locally generated data, participating institutions should apply their own ethics approvals, data-sharing agreements, and national requirements before release or transfer.</w:t>
      </w:r>
    </w:p>
    <w:p w14:paraId="4E6BA952" w14:textId="77777777" w:rsidR="00003A27" w:rsidRDefault="00000000">
      <w:pPr>
        <w:pStyle w:val="Heading1"/>
      </w:pPr>
      <w:r>
        <w:t>Key Risks and Mitigation</w:t>
      </w:r>
    </w:p>
    <w:tbl>
      <w:tblPr>
        <w:tblW w:w="9359" w:type="dxa"/>
        <w:tblInd w:w="120" w:type="dxa"/>
        <w:tblLayout w:type="fixed"/>
        <w:tblLook w:val="04A0" w:firstRow="1" w:lastRow="0" w:firstColumn="1" w:lastColumn="0" w:noHBand="0" w:noVBand="1"/>
      </w:tblPr>
      <w:tblGrid>
        <w:gridCol w:w="3088"/>
        <w:gridCol w:w="6271"/>
      </w:tblGrid>
      <w:tr w:rsidR="00003A27" w14:paraId="06608D62" w14:textId="77777777">
        <w:trPr>
          <w:tblHeader/>
        </w:trPr>
        <w:tc>
          <w:tcPr>
            <w:tcW w:w="3088" w:type="dxa"/>
            <w:shd w:val="clear" w:color="auto" w:fill="12344D"/>
            <w:tcMar>
              <w:top w:w="100" w:type="dxa"/>
              <w:left w:w="140" w:type="dxa"/>
              <w:bottom w:w="100" w:type="dxa"/>
              <w:right w:w="140" w:type="dxa"/>
            </w:tcMar>
            <w:vAlign w:val="center"/>
          </w:tcPr>
          <w:p w14:paraId="134B87E2" w14:textId="77777777" w:rsidR="00003A27" w:rsidRDefault="00000000">
            <w:pPr>
              <w:spacing w:after="0" w:line="259" w:lineRule="auto"/>
            </w:pPr>
            <w:r>
              <w:rPr>
                <w:b/>
                <w:color w:val="FFFFFF"/>
                <w:sz w:val="18"/>
              </w:rPr>
              <w:t>Risk</w:t>
            </w:r>
          </w:p>
        </w:tc>
        <w:tc>
          <w:tcPr>
            <w:tcW w:w="6271" w:type="dxa"/>
            <w:shd w:val="clear" w:color="auto" w:fill="12344D"/>
            <w:tcMar>
              <w:top w:w="100" w:type="dxa"/>
              <w:left w:w="140" w:type="dxa"/>
              <w:bottom w:w="100" w:type="dxa"/>
              <w:right w:w="140" w:type="dxa"/>
            </w:tcMar>
            <w:vAlign w:val="center"/>
          </w:tcPr>
          <w:p w14:paraId="53A89B74" w14:textId="77777777" w:rsidR="00003A27" w:rsidRDefault="00000000">
            <w:pPr>
              <w:spacing w:after="0" w:line="259" w:lineRule="auto"/>
            </w:pPr>
            <w:r>
              <w:rPr>
                <w:b/>
                <w:color w:val="FFFFFF"/>
                <w:sz w:val="18"/>
              </w:rPr>
              <w:t>Mitigation</w:t>
            </w:r>
          </w:p>
        </w:tc>
      </w:tr>
      <w:tr w:rsidR="00003A27" w14:paraId="1D0F10FE" w14:textId="77777777">
        <w:tc>
          <w:tcPr>
            <w:tcW w:w="3088" w:type="dxa"/>
            <w:shd w:val="clear" w:color="auto" w:fill="FFFFFF"/>
            <w:tcMar>
              <w:top w:w="100" w:type="dxa"/>
              <w:left w:w="140" w:type="dxa"/>
              <w:bottom w:w="100" w:type="dxa"/>
              <w:right w:w="140" w:type="dxa"/>
            </w:tcMar>
            <w:vAlign w:val="center"/>
          </w:tcPr>
          <w:p w14:paraId="411C8CB8" w14:textId="77777777" w:rsidR="00003A27" w:rsidRDefault="00000000">
            <w:pPr>
              <w:spacing w:after="0" w:line="259" w:lineRule="auto"/>
            </w:pPr>
            <w:r>
              <w:rPr>
                <w:sz w:val="18"/>
              </w:rPr>
              <w:t>Incomplete or mismatched public metadata</w:t>
            </w:r>
          </w:p>
        </w:tc>
        <w:tc>
          <w:tcPr>
            <w:tcW w:w="6271" w:type="dxa"/>
            <w:shd w:val="clear" w:color="auto" w:fill="FFFFFF"/>
            <w:tcMar>
              <w:top w:w="100" w:type="dxa"/>
              <w:left w:w="140" w:type="dxa"/>
              <w:bottom w:w="100" w:type="dxa"/>
              <w:right w:w="140" w:type="dxa"/>
            </w:tcMar>
            <w:vAlign w:val="center"/>
          </w:tcPr>
          <w:p w14:paraId="7F4F3772" w14:textId="77777777" w:rsidR="00003A27" w:rsidRDefault="00000000">
            <w:pPr>
              <w:spacing w:after="0" w:line="259" w:lineRule="auto"/>
            </w:pPr>
            <w:r>
              <w:rPr>
                <w:sz w:val="18"/>
              </w:rPr>
              <w:t>Strict eligibility rules, independent checks, curator review, and transparent rejection logs</w:t>
            </w:r>
          </w:p>
        </w:tc>
      </w:tr>
      <w:tr w:rsidR="00003A27" w14:paraId="572B8FB3" w14:textId="77777777">
        <w:tc>
          <w:tcPr>
            <w:tcW w:w="3088" w:type="dxa"/>
            <w:shd w:val="clear" w:color="auto" w:fill="F4F7F9"/>
            <w:tcMar>
              <w:top w:w="100" w:type="dxa"/>
              <w:left w:w="140" w:type="dxa"/>
              <w:bottom w:w="100" w:type="dxa"/>
              <w:right w:w="140" w:type="dxa"/>
            </w:tcMar>
            <w:vAlign w:val="center"/>
          </w:tcPr>
          <w:p w14:paraId="660BAE6C" w14:textId="77777777" w:rsidR="00003A27" w:rsidRDefault="00000000">
            <w:pPr>
              <w:spacing w:after="0" w:line="259" w:lineRule="auto"/>
            </w:pPr>
            <w:r>
              <w:rPr>
                <w:sz w:val="18"/>
              </w:rPr>
              <w:t>Under-representation of African datasets</w:t>
            </w:r>
          </w:p>
        </w:tc>
        <w:tc>
          <w:tcPr>
            <w:tcW w:w="6271" w:type="dxa"/>
            <w:shd w:val="clear" w:color="auto" w:fill="F4F7F9"/>
            <w:tcMar>
              <w:top w:w="100" w:type="dxa"/>
              <w:left w:w="140" w:type="dxa"/>
              <w:bottom w:w="100" w:type="dxa"/>
              <w:right w:w="140" w:type="dxa"/>
            </w:tcMar>
            <w:vAlign w:val="center"/>
          </w:tcPr>
          <w:p w14:paraId="692F5061" w14:textId="77777777" w:rsidR="00003A27" w:rsidRDefault="00000000">
            <w:pPr>
              <w:spacing w:after="0" w:line="259" w:lineRule="auto"/>
            </w:pPr>
            <w:r>
              <w:rPr>
                <w:sz w:val="18"/>
              </w:rPr>
              <w:t>Active partnership-based curation, support for local data generation, and no dilution of standards merely to meet a quota</w:t>
            </w:r>
          </w:p>
        </w:tc>
      </w:tr>
      <w:tr w:rsidR="00003A27" w14:paraId="3149C873" w14:textId="77777777">
        <w:tc>
          <w:tcPr>
            <w:tcW w:w="3088" w:type="dxa"/>
            <w:shd w:val="clear" w:color="auto" w:fill="FFFFFF"/>
            <w:tcMar>
              <w:top w:w="100" w:type="dxa"/>
              <w:left w:w="140" w:type="dxa"/>
              <w:bottom w:w="100" w:type="dxa"/>
              <w:right w:w="140" w:type="dxa"/>
            </w:tcMar>
            <w:vAlign w:val="center"/>
          </w:tcPr>
          <w:p w14:paraId="3D34A689" w14:textId="77777777" w:rsidR="00003A27" w:rsidRDefault="00000000">
            <w:pPr>
              <w:spacing w:after="0" w:line="259" w:lineRule="auto"/>
            </w:pPr>
            <w:r>
              <w:rPr>
                <w:sz w:val="18"/>
              </w:rPr>
              <w:t>Rapid changes in bioinformatics tools</w:t>
            </w:r>
          </w:p>
        </w:tc>
        <w:tc>
          <w:tcPr>
            <w:tcW w:w="6271" w:type="dxa"/>
            <w:shd w:val="clear" w:color="auto" w:fill="FFFFFF"/>
            <w:tcMar>
              <w:top w:w="100" w:type="dxa"/>
              <w:left w:w="140" w:type="dxa"/>
              <w:bottom w:w="100" w:type="dxa"/>
              <w:right w:w="140" w:type="dxa"/>
            </w:tcMar>
            <w:vAlign w:val="center"/>
          </w:tcPr>
          <w:p w14:paraId="27E5ADD0" w14:textId="77777777" w:rsidR="00003A27" w:rsidRDefault="00000000">
            <w:pPr>
              <w:spacing w:after="0" w:line="259" w:lineRule="auto"/>
            </w:pPr>
            <w:r>
              <w:rPr>
                <w:sz w:val="18"/>
              </w:rPr>
              <w:t>Plugin-based tool interface, version capture, repeatable test fixtures, and periodic benchmark updates</w:t>
            </w:r>
          </w:p>
        </w:tc>
      </w:tr>
      <w:tr w:rsidR="00003A27" w14:paraId="5EEC4033" w14:textId="77777777">
        <w:tc>
          <w:tcPr>
            <w:tcW w:w="3088" w:type="dxa"/>
            <w:shd w:val="clear" w:color="auto" w:fill="F4F7F9"/>
            <w:tcMar>
              <w:top w:w="100" w:type="dxa"/>
              <w:left w:w="140" w:type="dxa"/>
              <w:bottom w:w="100" w:type="dxa"/>
              <w:right w:w="140" w:type="dxa"/>
            </w:tcMar>
            <w:vAlign w:val="center"/>
          </w:tcPr>
          <w:p w14:paraId="769BACFB" w14:textId="77777777" w:rsidR="00003A27" w:rsidRDefault="00000000">
            <w:pPr>
              <w:spacing w:after="0" w:line="259" w:lineRule="auto"/>
            </w:pPr>
            <w:r>
              <w:rPr>
                <w:sz w:val="18"/>
              </w:rPr>
              <w:t>Compute and connectivity constraints</w:t>
            </w:r>
          </w:p>
        </w:tc>
        <w:tc>
          <w:tcPr>
            <w:tcW w:w="6271" w:type="dxa"/>
            <w:shd w:val="clear" w:color="auto" w:fill="F4F7F9"/>
            <w:tcMar>
              <w:top w:w="100" w:type="dxa"/>
              <w:left w:w="140" w:type="dxa"/>
              <w:bottom w:w="100" w:type="dxa"/>
              <w:right w:w="140" w:type="dxa"/>
            </w:tcMar>
            <w:vAlign w:val="center"/>
          </w:tcPr>
          <w:p w14:paraId="4D4804C8" w14:textId="77777777" w:rsidR="00003A27" w:rsidRDefault="00000000">
            <w:pPr>
              <w:spacing w:after="0" w:line="259" w:lineRule="auto"/>
            </w:pPr>
            <w:r>
              <w:rPr>
                <w:sz w:val="18"/>
              </w:rPr>
              <w:t>Local/offline-ready reporting, Docker support, scalable staged execution, and capacity-building guidance</w:t>
            </w:r>
          </w:p>
        </w:tc>
      </w:tr>
      <w:tr w:rsidR="00003A27" w14:paraId="4180830C" w14:textId="77777777">
        <w:tc>
          <w:tcPr>
            <w:tcW w:w="3088" w:type="dxa"/>
            <w:shd w:val="clear" w:color="auto" w:fill="FFFFFF"/>
            <w:tcMar>
              <w:top w:w="100" w:type="dxa"/>
              <w:left w:w="140" w:type="dxa"/>
              <w:bottom w:w="100" w:type="dxa"/>
              <w:right w:w="140" w:type="dxa"/>
            </w:tcMar>
            <w:vAlign w:val="center"/>
          </w:tcPr>
          <w:p w14:paraId="2867D2AC" w14:textId="77777777" w:rsidR="00003A27" w:rsidRDefault="00000000">
            <w:pPr>
              <w:spacing w:after="0" w:line="259" w:lineRule="auto"/>
            </w:pPr>
            <w:r>
              <w:rPr>
                <w:sz w:val="18"/>
              </w:rPr>
              <w:t>Misinterpretation as a diagnostic tool</w:t>
            </w:r>
          </w:p>
        </w:tc>
        <w:tc>
          <w:tcPr>
            <w:tcW w:w="6271" w:type="dxa"/>
            <w:shd w:val="clear" w:color="auto" w:fill="FFFFFF"/>
            <w:tcMar>
              <w:top w:w="100" w:type="dxa"/>
              <w:left w:w="140" w:type="dxa"/>
              <w:bottom w:w="100" w:type="dxa"/>
              <w:right w:w="140" w:type="dxa"/>
            </w:tcMar>
            <w:vAlign w:val="center"/>
          </w:tcPr>
          <w:p w14:paraId="3209EAC6" w14:textId="77777777" w:rsidR="00003A27" w:rsidRDefault="00000000">
            <w:pPr>
              <w:spacing w:after="0" w:line="259" w:lineRule="auto"/>
            </w:pPr>
            <w:r>
              <w:rPr>
                <w:sz w:val="18"/>
              </w:rPr>
              <w:t>Prominent research-use limitations in reports, documentation, training, and dissemination materials</w:t>
            </w:r>
          </w:p>
        </w:tc>
      </w:tr>
      <w:tr w:rsidR="00003A27" w14:paraId="5B590DD2" w14:textId="77777777">
        <w:tc>
          <w:tcPr>
            <w:tcW w:w="3088" w:type="dxa"/>
            <w:shd w:val="clear" w:color="auto" w:fill="F4F7F9"/>
            <w:tcMar>
              <w:top w:w="100" w:type="dxa"/>
              <w:left w:w="140" w:type="dxa"/>
              <w:bottom w:w="100" w:type="dxa"/>
              <w:right w:w="140" w:type="dxa"/>
            </w:tcMar>
            <w:vAlign w:val="center"/>
          </w:tcPr>
          <w:p w14:paraId="7A304A62" w14:textId="77777777" w:rsidR="00003A27" w:rsidRDefault="00000000">
            <w:pPr>
              <w:spacing w:after="0" w:line="259" w:lineRule="auto"/>
            </w:pPr>
            <w:r>
              <w:rPr>
                <w:sz w:val="18"/>
              </w:rPr>
              <w:t>Long-term maintenance burden</w:t>
            </w:r>
          </w:p>
        </w:tc>
        <w:tc>
          <w:tcPr>
            <w:tcW w:w="6271" w:type="dxa"/>
            <w:shd w:val="clear" w:color="auto" w:fill="F4F7F9"/>
            <w:tcMar>
              <w:top w:w="100" w:type="dxa"/>
              <w:left w:w="140" w:type="dxa"/>
              <w:bottom w:w="100" w:type="dxa"/>
              <w:right w:w="140" w:type="dxa"/>
            </w:tcMar>
            <w:vAlign w:val="center"/>
          </w:tcPr>
          <w:p w14:paraId="29A28871" w14:textId="77777777" w:rsidR="00003A27" w:rsidRDefault="00000000">
            <w:pPr>
              <w:spacing w:after="0" w:line="259" w:lineRule="auto"/>
            </w:pPr>
            <w:r>
              <w:rPr>
                <w:sz w:val="18"/>
              </w:rPr>
              <w:t>Open governance, reproducible environments, documentation, community contributions, and targeted maintenance funding</w:t>
            </w:r>
          </w:p>
        </w:tc>
      </w:tr>
    </w:tbl>
    <w:p w14:paraId="02742907" w14:textId="77777777" w:rsidR="00003A27" w:rsidRDefault="00003A27">
      <w:pPr>
        <w:spacing w:after="60"/>
      </w:pPr>
    </w:p>
    <w:p w14:paraId="3D56AF0F" w14:textId="77777777" w:rsidR="00003A27" w:rsidRDefault="00000000">
      <w:pPr>
        <w:pStyle w:val="Heading1"/>
      </w:pPr>
      <w:r>
        <w:t>Partnership and Governance Model</w:t>
      </w:r>
    </w:p>
    <w:p w14:paraId="4186B129" w14:textId="77777777" w:rsidR="00003A27" w:rsidRDefault="00000000">
      <w:r>
        <w:t>PlasBench should be developed as a collaborative public-good resource. A practical governance structure would include:</w:t>
      </w:r>
    </w:p>
    <w:p w14:paraId="67475326" w14:textId="77777777" w:rsidR="00003A27" w:rsidRDefault="00000000">
      <w:pPr>
        <w:pStyle w:val="ListBullet"/>
        <w:spacing w:after="80" w:line="269" w:lineRule="auto"/>
        <w:ind w:left="720"/>
      </w:pPr>
      <w:r>
        <w:t>A technical maintenance team responsible for releases, quality assurance, security updates, and user support.</w:t>
      </w:r>
    </w:p>
    <w:p w14:paraId="364DD02B" w14:textId="77777777" w:rsidR="00003A27" w:rsidRDefault="00000000">
      <w:pPr>
        <w:pStyle w:val="ListBullet"/>
        <w:spacing w:after="80" w:line="269" w:lineRule="auto"/>
        <w:ind w:left="720"/>
      </w:pPr>
      <w:r>
        <w:t>A scientific advisory group including microbiologists, genomic epidemiologists, bioinformaticians, and AMR specialists.</w:t>
      </w:r>
    </w:p>
    <w:p w14:paraId="6237C2A8" w14:textId="77777777" w:rsidR="00003A27" w:rsidRDefault="00000000">
      <w:pPr>
        <w:pStyle w:val="ListBullet"/>
        <w:spacing w:after="80" w:line="269" w:lineRule="auto"/>
        <w:ind w:left="720"/>
      </w:pPr>
      <w:r>
        <w:t>Cohort curators with knowledge of sample provenance, sequencing technologies, and local context.</w:t>
      </w:r>
    </w:p>
    <w:p w14:paraId="10339A59" w14:textId="77777777" w:rsidR="00003A27" w:rsidRDefault="00000000">
      <w:pPr>
        <w:pStyle w:val="ListBullet"/>
        <w:spacing w:after="80" w:line="269" w:lineRule="auto"/>
        <w:ind w:left="720"/>
      </w:pPr>
      <w:r>
        <w:t>Partner laboratories contributing validated data, use cases, and feedback.</w:t>
      </w:r>
    </w:p>
    <w:p w14:paraId="26B510B7" w14:textId="77777777" w:rsidR="00003A27" w:rsidRDefault="00000000">
      <w:pPr>
        <w:pStyle w:val="ListBullet"/>
        <w:spacing w:after="80" w:line="269" w:lineRule="auto"/>
        <w:ind w:left="720"/>
      </w:pPr>
      <w:r>
        <w:t>Funders and stakeholders receiving periodic progress reports against agreed indicators.</w:t>
      </w:r>
    </w:p>
    <w:p w14:paraId="0B4F01CB" w14:textId="77777777" w:rsidR="00003A27" w:rsidRDefault="00000000">
      <w:r>
        <w:lastRenderedPageBreak/>
        <w:t>All significant cohort additions and method changes should be versioned and documented so that a published result can be traced to the exact data and software used.</w:t>
      </w:r>
    </w:p>
    <w:p w14:paraId="71047CE5" w14:textId="77777777" w:rsidR="00003A27" w:rsidRDefault="00000000">
      <w:pPr>
        <w:pStyle w:val="Heading1"/>
      </w:pPr>
      <w:r>
        <w:t>Resource Needs</w:t>
      </w:r>
    </w:p>
    <w:p w14:paraId="54384737" w14:textId="77777777" w:rsidR="00003A27" w:rsidRDefault="00000000">
      <w:r>
        <w:t>The exact budget will depend on partnership scope and data availability. A fundable work plan should cover:</w:t>
      </w:r>
    </w:p>
    <w:p w14:paraId="0E10E3B9" w14:textId="77777777" w:rsidR="00003A27" w:rsidRDefault="00000000">
      <w:pPr>
        <w:pStyle w:val="ListBullet"/>
        <w:spacing w:after="80" w:line="269" w:lineRule="auto"/>
        <w:ind w:left="720"/>
      </w:pPr>
      <w:r>
        <w:t>Personnel for software maintenance, data curation, scientific review, and training.</w:t>
      </w:r>
    </w:p>
    <w:p w14:paraId="38FCE269" w14:textId="77777777" w:rsidR="00003A27" w:rsidRDefault="00000000">
      <w:pPr>
        <w:pStyle w:val="ListBullet"/>
        <w:spacing w:after="80" w:line="269" w:lineRule="auto"/>
        <w:ind w:left="720"/>
      </w:pPr>
      <w:r>
        <w:t>Compute and storage for downloading, assembling, benchmarking, and archiving sequence data.</w:t>
      </w:r>
    </w:p>
    <w:p w14:paraId="5886A472" w14:textId="77777777" w:rsidR="00003A27" w:rsidRDefault="00000000">
      <w:pPr>
        <w:pStyle w:val="ListBullet"/>
        <w:spacing w:after="80" w:line="269" w:lineRule="auto"/>
        <w:ind w:left="720"/>
      </w:pPr>
      <w:r>
        <w:t>Long-read and short-read sequencing for priority local isolates where appropriate data do not exist.</w:t>
      </w:r>
    </w:p>
    <w:p w14:paraId="405F7C23" w14:textId="77777777" w:rsidR="00003A27" w:rsidRDefault="00000000">
      <w:pPr>
        <w:pStyle w:val="ListBullet"/>
        <w:spacing w:after="80" w:line="269" w:lineRule="auto"/>
        <w:ind w:left="720"/>
      </w:pPr>
      <w:r>
        <w:t>Workshops, mentorship, and collaboration with participating laboratories.</w:t>
      </w:r>
    </w:p>
    <w:p w14:paraId="2A2A1293" w14:textId="77777777" w:rsidR="00003A27" w:rsidRDefault="00000000">
      <w:pPr>
        <w:pStyle w:val="ListBullet"/>
        <w:spacing w:after="80" w:line="269" w:lineRule="auto"/>
        <w:ind w:left="720"/>
      </w:pPr>
      <w:r>
        <w:t>Publication, repository/DOI, documentation, and community-engagement costs.</w:t>
      </w:r>
    </w:p>
    <w:p w14:paraId="2B174C4C" w14:textId="77777777" w:rsidR="00003A27" w:rsidRDefault="00000000">
      <w:r>
        <w:t>The most important investment is not only software development. It is the careful, documented curation of matched reference and read data, especially for diverse African clinical, veterinary, food, and environmental isolates.</w:t>
      </w:r>
    </w:p>
    <w:p w14:paraId="37D6D09C" w14:textId="77777777" w:rsidR="00003A27" w:rsidRDefault="00000000">
      <w:pPr>
        <w:pStyle w:val="Heading1"/>
      </w:pPr>
      <w:r>
        <w:t>Sustainability and Scale</w:t>
      </w:r>
    </w:p>
    <w:p w14:paraId="470DB1B6" w14:textId="77777777" w:rsidR="00003A27" w:rsidRDefault="00000000">
      <w:r>
        <w:t>PlasBench is designed to remain useful beyond a single grant because it is open source, container-ready, and based on transparent data and method records. New tools can be added without changing the core comparison principle. New cohorts can be evaluated while preserving earlier releases. Institutions can run the software locally and retain full control of their data and outputs.</w:t>
      </w:r>
    </w:p>
    <w:p w14:paraId="73676011" w14:textId="77777777" w:rsidR="00003A27" w:rsidRDefault="00000000">
      <w:r>
        <w:t xml:space="preserve">Over time, PlasBench can evolve into a shared evidence resource for plasmid reconstruction in AMR research, supporting regional networks, multicentre studies, postgraduate training, and reproducible publication standards. Its long-term value lies in enabling many groups to answer the same foundational question with comparable, auditable evidence: </w:t>
      </w:r>
      <w:r>
        <w:rPr>
          <w:b/>
        </w:rPr>
        <w:t>which analytical method can be trusted for this dataset and purpose?</w:t>
      </w:r>
    </w:p>
    <w:p w14:paraId="5FDD5AEB" w14:textId="77777777" w:rsidR="00003A27" w:rsidRDefault="00000000">
      <w:pPr>
        <w:pStyle w:val="Heading1"/>
      </w:pPr>
      <w:r>
        <w:t>Funding Proposition</w:t>
      </w:r>
    </w:p>
    <w:p w14:paraId="49F5D531" w14:textId="77777777" w:rsidR="00003A27" w:rsidRDefault="00000000">
      <w:r>
        <w:t>Support for PlasBench would create an open, practical, and equitable foundation for plasmid and AMR genomics. It addresses a clear evidence gap between the availability of bacterial sequence data and the confidence with which researchers can interpret plasmid results.</w:t>
      </w:r>
    </w:p>
    <w:p w14:paraId="7700A13F" w14:textId="77777777" w:rsidR="00003A27" w:rsidRDefault="00000000">
      <w:r>
        <w:t>The proposed investment will deliver more than software: it will produce curated benchmark data, reproducible analysis records, researcher capacity, collaborative networks, and transparent evidence for method selection. By centring rigorous validation and meaningful representation, PlasBench can help ensure that advances in pathogen genomics are credible, reusable, and relevant to the settings most affected by AMR.</w:t>
      </w:r>
    </w:p>
    <w:p w14:paraId="6E36F607" w14:textId="77777777" w:rsidR="00003A27" w:rsidRDefault="00000000">
      <w:pPr>
        <w:pStyle w:val="Heading1"/>
      </w:pPr>
      <w:r>
        <w:lastRenderedPageBreak/>
        <w:t>Contact and Further Information</w:t>
      </w:r>
    </w:p>
    <w:p w14:paraId="4D896C65" w14:textId="77777777" w:rsidR="00003A27" w:rsidRDefault="00000000">
      <w:r>
        <w:rPr>
          <w:b/>
        </w:rPr>
        <w:t>Project lead:</w:t>
      </w:r>
      <w:r>
        <w:t xml:space="preserve"> Ubokobong Effiong</w:t>
      </w:r>
    </w:p>
    <w:p w14:paraId="13A64977" w14:textId="0388C660" w:rsidR="00003A27" w:rsidRDefault="00000000">
      <w:r>
        <w:rPr>
          <w:b/>
        </w:rPr>
        <w:t>Email:</w:t>
      </w:r>
      <w:r>
        <w:t xml:space="preserve"> </w:t>
      </w:r>
      <w:hyperlink r:id="rId8" w:history="1">
        <w:r w:rsidR="008B00AA" w:rsidRPr="00DA6DC4">
          <w:rPr>
            <w:rStyle w:val="Hyperlink"/>
          </w:rPr>
          <w:t>ubokobongokon@gmail.com</w:t>
        </w:r>
      </w:hyperlink>
      <w:r w:rsidR="008B00AA">
        <w:t xml:space="preserve"> </w:t>
      </w:r>
      <w:r>
        <w:t xml:space="preserve"> | </w:t>
      </w:r>
      <w:hyperlink r:id="rId9" w:history="1">
        <w:r w:rsidR="008B00AA" w:rsidRPr="00DA6DC4">
          <w:rPr>
            <w:rStyle w:val="Hyperlink"/>
          </w:rPr>
          <w:t>ueffiong@ihvnigeria.org</w:t>
        </w:r>
      </w:hyperlink>
      <w:r w:rsidR="008B00AA">
        <w:t xml:space="preserve"> </w:t>
      </w:r>
    </w:p>
    <w:p w14:paraId="0419594F" w14:textId="77777777" w:rsidR="00003A27" w:rsidRDefault="00000000">
      <w:r>
        <w:rPr>
          <w:b/>
        </w:rPr>
        <w:t>Institutional acknowledgement:</w:t>
      </w:r>
      <w:r>
        <w:t xml:space="preserve"> International Research Center of Excellence at the Institute of Human Virology Nigeria (IHVN). This acknowledgement does not imply institutional ownership, funding, endorsement, or approval unless formally confirmed by IHVN.</w:t>
      </w:r>
    </w:p>
    <w:p w14:paraId="5B83D7AE" w14:textId="33420502" w:rsidR="00003A27" w:rsidRDefault="00000000">
      <w:r>
        <w:t xml:space="preserve">PlasBench source code, technical documentation, demonstration workflow, and reproducibility materials are available at </w:t>
      </w:r>
      <w:hyperlink r:id="rId10" w:history="1">
        <w:r w:rsidR="008B00AA" w:rsidRPr="00DA6DC4">
          <w:rPr>
            <w:rStyle w:val="Hyperlink"/>
          </w:rPr>
          <w:t>https://github.com/ubeffiong/plasbench</w:t>
        </w:r>
      </w:hyperlink>
      <w:r w:rsidR="008B00AA">
        <w:t xml:space="preserve"> . </w:t>
      </w:r>
      <w:r>
        <w:t>The project team can tailor a work plan, budget, and partnership model to the priorities of a specific institution, funder, country programme, or regional network.</w:t>
      </w:r>
    </w:p>
    <w:sectPr w:rsidR="00003A27" w:rsidSect="00034616">
      <w:headerReference w:type="default" r:id="rId11"/>
      <w:footerReference w:type="default" r:id="rId12"/>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CA713" w14:textId="77777777" w:rsidR="00C81845" w:rsidRDefault="00C81845">
      <w:pPr>
        <w:spacing w:after="0" w:line="240" w:lineRule="auto"/>
      </w:pPr>
      <w:r>
        <w:separator/>
      </w:r>
    </w:p>
  </w:endnote>
  <w:endnote w:type="continuationSeparator" w:id="0">
    <w:p w14:paraId="5F0BB975" w14:textId="77777777" w:rsidR="00C81845" w:rsidRDefault="00C81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B552A" w14:textId="21865490" w:rsidR="00003A27" w:rsidRDefault="00000000">
    <w:pPr>
      <w:pStyle w:val="Footer"/>
      <w:jc w:val="right"/>
    </w:pPr>
    <w:proofErr w:type="spellStart"/>
    <w:r>
      <w:rPr>
        <w:color w:val="64748B"/>
        <w:sz w:val="17"/>
      </w:rPr>
      <w:t>PlasBench</w:t>
    </w:r>
    <w:proofErr w:type="spellEnd"/>
    <w:r>
      <w:rPr>
        <w:color w:val="64748B"/>
        <w:sz w:val="17"/>
      </w:rPr>
      <w:t xml:space="preserve"> concept </w:t>
    </w:r>
    <w:proofErr w:type="gramStart"/>
    <w:r>
      <w:rPr>
        <w:color w:val="64748B"/>
        <w:sz w:val="17"/>
      </w:rPr>
      <w:t>note  |</w:t>
    </w:r>
    <w:proofErr w:type="gramEnd"/>
    <w:r>
      <w:rPr>
        <w:color w:val="64748B"/>
        <w:sz w:val="17"/>
      </w:rPr>
      <w:t xml:space="preserve">  Page </w:t>
    </w:r>
    <w:r>
      <w:fldChar w:fldCharType="begin"/>
    </w:r>
    <w:r>
      <w:instrText>PAGE</w:instrText>
    </w:r>
    <w:r>
      <w:fldChar w:fldCharType="separate"/>
    </w:r>
    <w:r w:rsidR="008B00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918E8" w14:textId="77777777" w:rsidR="00C81845" w:rsidRDefault="00C81845">
      <w:pPr>
        <w:spacing w:after="0" w:line="240" w:lineRule="auto"/>
      </w:pPr>
      <w:r>
        <w:separator/>
      </w:r>
    </w:p>
  </w:footnote>
  <w:footnote w:type="continuationSeparator" w:id="0">
    <w:p w14:paraId="1862B1D5" w14:textId="77777777" w:rsidR="00C81845" w:rsidRDefault="00C818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64A8" w14:textId="77777777" w:rsidR="00003A27" w:rsidRDefault="00000000">
    <w:pPr>
      <w:pStyle w:val="Header"/>
    </w:pPr>
    <w:proofErr w:type="gramStart"/>
    <w:r>
      <w:rPr>
        <w:b/>
        <w:color w:val="64748B"/>
        <w:sz w:val="17"/>
      </w:rPr>
      <w:t>PLASBENCH  |</w:t>
    </w:r>
    <w:proofErr w:type="gramEnd"/>
    <w:r>
      <w:rPr>
        <w:b/>
        <w:color w:val="64748B"/>
        <w:sz w:val="17"/>
      </w:rPr>
      <w:t xml:space="preserve">  CONCEPT NOTE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9983175">
    <w:abstractNumId w:val="8"/>
  </w:num>
  <w:num w:numId="2" w16cid:durableId="1308165137">
    <w:abstractNumId w:val="6"/>
  </w:num>
  <w:num w:numId="3" w16cid:durableId="196816395">
    <w:abstractNumId w:val="5"/>
  </w:num>
  <w:num w:numId="4" w16cid:durableId="1835292746">
    <w:abstractNumId w:val="4"/>
  </w:num>
  <w:num w:numId="5" w16cid:durableId="117451389">
    <w:abstractNumId w:val="7"/>
  </w:num>
  <w:num w:numId="6" w16cid:durableId="779764652">
    <w:abstractNumId w:val="3"/>
  </w:num>
  <w:num w:numId="7" w16cid:durableId="343634263">
    <w:abstractNumId w:val="2"/>
  </w:num>
  <w:num w:numId="8" w16cid:durableId="2039888942">
    <w:abstractNumId w:val="1"/>
  </w:num>
  <w:num w:numId="9" w16cid:durableId="2010016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27"/>
    <w:rsid w:val="00034616"/>
    <w:rsid w:val="0006063C"/>
    <w:rsid w:val="000D3B1E"/>
    <w:rsid w:val="0015074B"/>
    <w:rsid w:val="0029639D"/>
    <w:rsid w:val="00326F90"/>
    <w:rsid w:val="004F353C"/>
    <w:rsid w:val="00617266"/>
    <w:rsid w:val="007A548D"/>
    <w:rsid w:val="008B00AA"/>
    <w:rsid w:val="00AA1D8D"/>
    <w:rsid w:val="00B47730"/>
    <w:rsid w:val="00C818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9358DB9-6CDC-44AE-83D7-F42AF1FDD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8" w:lineRule="auto"/>
    </w:pPr>
    <w:rPr>
      <w:rFonts w:ascii="Aptos" w:hAnsi="Aptos"/>
      <w:color w:val="24313D"/>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2344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234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Callout">
    <w:name w:val="Key Callout"/>
    <w:basedOn w:val="Normal"/>
    <w:pPr>
      <w:spacing w:before="100" w:after="160"/>
      <w:ind w:left="259" w:right="259"/>
    </w:pPr>
  </w:style>
  <w:style w:type="character" w:styleId="Hyperlink">
    <w:name w:val="Hyperlink"/>
    <w:basedOn w:val="DefaultParagraphFont"/>
    <w:uiPriority w:val="99"/>
    <w:unhideWhenUsed/>
    <w:rsid w:val="008B00AA"/>
    <w:rPr>
      <w:color w:val="0000FF" w:themeColor="hyperlink"/>
      <w:u w:val="single"/>
    </w:rPr>
  </w:style>
  <w:style w:type="character" w:styleId="UnresolvedMention">
    <w:name w:val="Unresolved Mention"/>
    <w:basedOn w:val="DefaultParagraphFont"/>
    <w:uiPriority w:val="99"/>
    <w:semiHidden/>
    <w:unhideWhenUsed/>
    <w:rsid w:val="008B00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bokobongokon@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ubeffiong/plasbench" TargetMode="External"/><Relationship Id="rId4" Type="http://schemas.openxmlformats.org/officeDocument/2006/relationships/settings" Target="settings.xml"/><Relationship Id="rId9" Type="http://schemas.openxmlformats.org/officeDocument/2006/relationships/hyperlink" Target="mailto:ueffiong@ihvnigeria.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bdc6489-e816-4d5f-a964-770eaacd0870}" enabled="1" method="Standard" siteId="{995c8049-bfb4-4df7-a971-0330afa808c9}"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2694</Words>
  <Characters>15361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PlasBench Concept Note</dc:title>
  <dc:subject>Non-technical concept note for research partners and funders</dc:subject>
  <dc:creator>PlasBench contributors</dc:creator>
  <cp:keywords/>
  <dc:description>generated by python-docx</dc:description>
  <cp:lastModifiedBy>Ubokobong O Effiong</cp:lastModifiedBy>
  <cp:revision>3</cp:revision>
  <dcterms:created xsi:type="dcterms:W3CDTF">2013-12-23T23:15:00Z</dcterms:created>
  <dcterms:modified xsi:type="dcterms:W3CDTF">2026-09-01T14:49:00Z</dcterms:modified>
  <cp:category/>
</cp:coreProperties>
</file>