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№4</w:t>
      </w:r>
    </w:p>
    <w:p>
      <w:r>
        <w:rPr>
          <w:rFonts w:ascii="Times New Roman" w:hAnsi="Times New Roman" w:eastAsia="Times New Roman"/>
          <w:sz w:val="24"/>
        </w:rPr>
        <w:t>Урок 6.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дз04. В ней блокнот dz04_ab.ipynb и график dz04_bar.png.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nA=nB=100, pA=0.4, pB=0.5. Новая страница vs старая, доля переходов в Товары. Какие гипотезы?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дизайнер ждал рост, поэтому односторонняя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H0: piA = piB, H1: piB &gt; piA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Посчитайте z-статистику.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p=0.45, z=(0.4-0.5)/sqrt(0.45*0.55*(1/100+1/100))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z ≈ -1.42, |z| ≈ 1.42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Какой квантиль при alpha=5%?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односторонняя, не 1.96, а НОРМ.СТ.ОБР(0.95)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1.645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Лучше ли новый дизайн?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1.42 &lt; 1.645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нет, H0 не отвергаем, на 5% новый дизайн не подтверждён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Какой размер выборки нужен на эффект 0.05 и какой MDE при n=100?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мощность 80%, z_beta≈0.84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на delta=0.05 примерно 1200 на группу; при n=100 MDE ≈ 0.17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https://github.com/ubersk-debug/pg-kruchinin/blob/master/дз04/dz04_ab.ipynb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