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22"/>
          <w:szCs w:val="22"/>
        </w:rPr>
        <w:t xml:space="preserve">Volume 3 — Statement of Work</w:t>
      </w:r>
    </w:p>
    <w:p>
      <w:pPr>
        <w:spacing w:after="0" w:before="0"/>
        <w:jc w:val="left"/>
      </w:pPr>
      <w:r>
        <w:rPr>
          <w:rFonts w:ascii="Georgia" w:cs="Georgia" w:eastAsia="Georgia" w:hAnsi="Georgia"/>
          <w:color w:val="475569"/>
          <w:sz w:val="22"/>
          <w:szCs w:val="22"/>
        </w:rPr>
        <w:t xml:space="preserve">{company_name} (SBC) with {ri_name} (RI) · Navy STTR Phase I · Topic {topic_number}</w:t>
      </w:r>
    </w:p>
    <w:p>
      <w:pPr>
        <w:spacing w:after="0" w:before="0"/>
        <w:jc w:val="left"/>
      </w:pPr>
      <w:r>
        <w:rPr>
          <w:rFonts w:ascii="Georgia" w:cs="Georgia" w:eastAsia="Georgia" w:hAnsi="Georgia"/>
          <w:color w:val="475569"/>
          <w:sz w:val="22"/>
          <w:szCs w:val="22"/>
        </w:rPr>
        <w:t xml:space="preserve">Base Period: 18 months / $250,000   ·   Option Period: 6 months / $150,000</w:t>
      </w:r>
    </w:p>
    <w:p>
      <w:pPr>
        <w:spacing w:after="0" w:before="0"/>
        <w:jc w:val="left"/>
      </w:pPr>
      <w:r>
        <w:rPr>
          <w:rFonts w:ascii="Georgia" w:cs="Georgia" w:eastAsia="Georgia" w:hAnsi="Georgia"/>
          <w:sz w:val="22"/>
          <w:szCs w:val="22"/>
        </w:rPr>
        <w:t xml:space="preserve">This Statement of Work defines the tasks, responsibilities, deliverables, and schedule for the Phase I base period and the priced option. Responsibility is marked SBC ({company_name}), RI ({ri_name}), or Joint. The task structure preserves the STTR work-split (SBC ≥ 40%, RI ≥ 30%); the cost realization of that split is in the Cost Volume.</w:t>
      </w:r>
    </w:p>
    <w:p>
      <w:pPr>
        <w:spacing w:after="0" w:before="0"/>
        <w:jc w:val="left"/>
      </w:pPr>
      <w:r>
        <w:rPr>
          <w:rFonts w:ascii="Georgia" w:cs="Georgia" w:eastAsia="Georgia" w:hAnsi="Georgia"/>
          <w:sz w:val="22"/>
          <w:szCs w:val="22"/>
        </w:rPr>
        <w:t xml:space="preserve">The base period is a single 18-month period of performance decomposed into five tasks. Two run largely in parallel — the RI-led channel and corpus track (Task 1) and the SBC-led classifier track (Task 2) — and converge in the joint fusion and validation tasks (Tasks 4–5). The priced option adds a hardware-in-the-loop prototype and a tank/at-sea pre-demonstration that carry the effort to a Phase II readiness decision. Each task below states scope, the responsible party and level of effort, and a concrete deliverable; all levels of effort are consistent with the Cost Volume.</w:t>
      </w:r>
    </w:p>
    <w:p>
      <w:pPr>
        <w:pStyle w:val="Heading2"/>
      </w:pPr>
      <w:r>
        <w:rPr>
          <w:rFonts w:ascii="Georgia" w:cs="Georgia" w:eastAsia="Georgia" w:hAnsi="Georgia"/>
          <w:b/>
          <w:bCs/>
          <w:sz w:val="22"/>
          <w:szCs w:val="22"/>
        </w:rPr>
        <w:t xml:space="preserve">Base Period Tasks (Months 1–18)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color="0f2942" w:val="solid"/>
          </w:tcPr>
          <w:p>
            <w:pPr>
              <w:jc w:val="left"/>
            </w:pPr>
            <w:r>
              <w:rPr>
                <w:rFonts w:ascii="Georgia" w:cs="Georgia" w:eastAsia="Georgia" w:hAnsi="Georgia"/>
                <w:b/>
                <w:bCs/>
                <w:sz w:val="22"/>
                <w:szCs w:val="22"/>
              </w:rPr>
              <w:t xml:space="preserve">Task</w:t>
            </w:r>
          </w:p>
        </w:tc>
        <w:tc>
          <w:tcPr>
            <w:tcW w:type="pct" w:w="20%"/>
            <w:shd w:color="0f2942" w:val="solid"/>
          </w:tcPr>
          <w:p>
            <w:pPr>
              <w:jc w:val="left"/>
            </w:pPr>
            <w:r>
              <w:rPr>
                <w:rFonts w:ascii="Georgia" w:cs="Georgia" w:eastAsia="Georgia" w:hAnsi="Georgia"/>
                <w:b/>
                <w:bCs/>
                <w:sz w:val="22"/>
                <w:szCs w:val="22"/>
              </w:rPr>
              <w:t xml:space="preserve">Title</w:t>
            </w:r>
          </w:p>
        </w:tc>
        <w:tc>
          <w:tcPr>
            <w:tcW w:type="pct" w:w="20%"/>
            <w:shd w:color="0f2942" w:val="solid"/>
          </w:tcPr>
          <w:p>
            <w:pPr>
              <w:jc w:val="left"/>
            </w:pPr>
            <w:r>
              <w:rPr>
                <w:rFonts w:ascii="Georgia" w:cs="Georgia" w:eastAsia="Georgia" w:hAnsi="Georgia"/>
                <w:b/>
                <w:bCs/>
                <w:sz w:val="22"/>
                <w:szCs w:val="22"/>
              </w:rPr>
              <w:t xml:space="preserve">Lead</w:t>
            </w:r>
          </w:p>
        </w:tc>
        <w:tc>
          <w:tcPr>
            <w:tcW w:type="pct" w:w="20%"/>
            <w:shd w:color="0f2942" w:val="solid"/>
          </w:tcPr>
          <w:p>
            <w:pPr>
              <w:jc w:val="left"/>
            </w:pPr>
            <w:r>
              <w:rPr>
                <w:rFonts w:ascii="Georgia" w:cs="Georgia" w:eastAsia="Georgia" w:hAnsi="Georgia"/>
                <w:b/>
                <w:bCs/>
                <w:sz w:val="22"/>
                <w:szCs w:val="22"/>
              </w:rPr>
              <w:t xml:space="preserve">Months</w:t>
            </w:r>
          </w:p>
        </w:tc>
        <w:tc>
          <w:tcPr>
            <w:tcW w:type="pct" w:w="20%"/>
            <w:shd w:color="0f2942" w:val="solid"/>
          </w:tcPr>
          <w:p>
            <w:pPr>
              <w:jc w:val="left"/>
            </w:pPr>
            <w:r>
              <w:rPr>
                <w:rFonts w:ascii="Georgia" w:cs="Georgia" w:eastAsia="Georgia" w:hAnsi="Georgia"/>
                <w:b/>
                <w:bCs/>
                <w:sz w:val="22"/>
                <w:szCs w:val="22"/>
              </w:rPr>
              <w:t xml:space="preserve">Deliverable</w:t>
            </w:r>
          </w:p>
        </w:tc>
      </w:tr>
      <w:tr>
        <w:tc>
          <w:p>
            <w:pPr>
              <w:jc w:val="left"/>
            </w:pPr>
            <w:r>
              <w:rPr>
                <w:rFonts w:ascii="Georgia" w:cs="Georgia" w:eastAsia="Georgia" w:hAnsi="Georgia"/>
                <w:b w:val="false"/>
                <w:bCs w:val="false"/>
                <w:sz w:val="22"/>
                <w:szCs w:val="22"/>
              </w:rPr>
              <w:t xml:space="preserve">1</w:t>
            </w:r>
          </w:p>
        </w:tc>
        <w:tc>
          <w:p>
            <w:pPr>
              <w:jc w:val="left"/>
            </w:pPr>
            <w:r>
              <w:rPr>
                <w:rFonts w:ascii="Georgia" w:cs="Georgia" w:eastAsia="Georgia" w:hAnsi="Georgia"/>
                <w:b w:val="false"/>
                <w:bCs w:val="false"/>
                <w:sz w:val="22"/>
                <w:szCs w:val="22"/>
              </w:rPr>
              <w:t xml:space="preserve">Channel characterization &amp; corpus</w:t>
            </w:r>
          </w:p>
        </w:tc>
        <w:tc>
          <w:p>
            <w:pPr>
              <w:jc w:val="left"/>
            </w:pPr>
            <w:r>
              <w:rPr>
                <w:rFonts w:ascii="Georgia" w:cs="Georgia" w:eastAsia="Georgia" w:hAnsi="Georgia"/>
                <w:b w:val="false"/>
                <w:bCs w:val="false"/>
                <w:sz w:val="22"/>
                <w:szCs w:val="22"/>
              </w:rPr>
              <w:t xml:space="preserve">RI</w:t>
            </w:r>
          </w:p>
        </w:tc>
        <w:tc>
          <w:p>
            <w:pPr>
              <w:jc w:val="left"/>
            </w:pPr>
            <w:r>
              <w:rPr>
                <w:rFonts w:ascii="Georgia" w:cs="Georgia" w:eastAsia="Georgia" w:hAnsi="Georgia"/>
                <w:b w:val="false"/>
                <w:bCs w:val="false"/>
                <w:sz w:val="22"/>
                <w:szCs w:val="22"/>
              </w:rPr>
              <w:t xml:space="preserve">1–6</w:t>
            </w:r>
          </w:p>
        </w:tc>
        <w:tc>
          <w:p>
            <w:pPr>
              <w:jc w:val="left"/>
            </w:pPr>
            <w:r>
              <w:rPr>
                <w:rFonts w:ascii="Georgia" w:cs="Georgia" w:eastAsia="Georgia" w:hAnsi="Georgia"/>
                <w:b w:val="false"/>
                <w:bCs w:val="false"/>
                <w:sz w:val="22"/>
                <w:szCs w:val="22"/>
              </w:rPr>
              <w:t xml:space="preserve">Propagation-labeled multi-node corpus + data card</w:t>
            </w:r>
          </w:p>
        </w:tc>
      </w:tr>
      <w:tr>
        <w:tc>
          <w:p>
            <w:pPr>
              <w:jc w:val="left"/>
            </w:pPr>
            <w:r>
              <w:rPr>
                <w:rFonts w:ascii="Georgia" w:cs="Georgia" w:eastAsia="Georgia" w:hAnsi="Georgia"/>
                <w:b w:val="false"/>
                <w:bCs w:val="false"/>
                <w:sz w:val="22"/>
                <w:szCs w:val="22"/>
              </w:rPr>
              <w:t xml:space="preserve">2</w:t>
            </w:r>
          </w:p>
        </w:tc>
        <w:tc>
          <w:p>
            <w:pPr>
              <w:jc w:val="left"/>
            </w:pPr>
            <w:r>
              <w:rPr>
                <w:rFonts w:ascii="Georgia" w:cs="Georgia" w:eastAsia="Georgia" w:hAnsi="Georgia"/>
                <w:b w:val="false"/>
                <w:bCs w:val="false"/>
                <w:sz w:val="22"/>
                <w:szCs w:val="22"/>
              </w:rPr>
              <w:t xml:space="preserve">Propagation-aware classifier</w:t>
            </w:r>
          </w:p>
        </w:tc>
        <w:tc>
          <w:p>
            <w:pPr>
              <w:jc w:val="left"/>
            </w:pPr>
            <w:r>
              <w:rPr>
                <w:rFonts w:ascii="Georgia" w:cs="Georgia" w:eastAsia="Georgia" w:hAnsi="Georgia"/>
                <w:b w:val="false"/>
                <w:bCs w:val="false"/>
                <w:sz w:val="22"/>
                <w:szCs w:val="22"/>
              </w:rPr>
              <w:t xml:space="preserve">SBC</w:t>
            </w:r>
          </w:p>
        </w:tc>
        <w:tc>
          <w:p>
            <w:pPr>
              <w:jc w:val="left"/>
            </w:pPr>
            <w:r>
              <w:rPr>
                <w:rFonts w:ascii="Georgia" w:cs="Georgia" w:eastAsia="Georgia" w:hAnsi="Georgia"/>
                <w:b w:val="false"/>
                <w:bCs w:val="false"/>
                <w:sz w:val="22"/>
                <w:szCs w:val="22"/>
              </w:rPr>
              <w:t xml:space="preserve">3–9</w:t>
            </w:r>
          </w:p>
        </w:tc>
        <w:tc>
          <w:p>
            <w:pPr>
              <w:jc w:val="left"/>
            </w:pPr>
            <w:r>
              <w:rPr>
                <w:rFonts w:ascii="Georgia" w:cs="Georgia" w:eastAsia="Georgia" w:hAnsi="Georgia"/>
                <w:b w:val="false"/>
                <w:bCs w:val="false"/>
                <w:sz w:val="22"/>
                <w:szCs w:val="22"/>
              </w:rPr>
              <w:t xml:space="preserve">Extended 4-bit model + accuracy report</w:t>
            </w:r>
          </w:p>
        </w:tc>
      </w:tr>
      <w:tr>
        <w:tc>
          <w:p>
            <w:pPr>
              <w:jc w:val="left"/>
            </w:pPr>
            <w:r>
              <w:rPr>
                <w:rFonts w:ascii="Georgia" w:cs="Georgia" w:eastAsia="Georgia" w:hAnsi="Georgia"/>
                <w:b w:val="false"/>
                <w:bCs w:val="false"/>
                <w:sz w:val="22"/>
                <w:szCs w:val="22"/>
              </w:rPr>
              <w:t xml:space="preserve">3</w:t>
            </w:r>
          </w:p>
        </w:tc>
        <w:tc>
          <w:p>
            <w:pPr>
              <w:jc w:val="left"/>
            </w:pPr>
            <w:r>
              <w:rPr>
                <w:rFonts w:ascii="Georgia" w:cs="Georgia" w:eastAsia="Georgia" w:hAnsi="Georgia"/>
                <w:b w:val="false"/>
                <w:bCs w:val="false"/>
                <w:sz w:val="22"/>
                <w:szCs w:val="22"/>
              </w:rPr>
              <w:t xml:space="preserve">On-node runtime &amp; power</w:t>
            </w:r>
          </w:p>
        </w:tc>
        <w:tc>
          <w:p>
            <w:pPr>
              <w:jc w:val="left"/>
            </w:pPr>
            <w:r>
              <w:rPr>
                <w:rFonts w:ascii="Georgia" w:cs="Georgia" w:eastAsia="Georgia" w:hAnsi="Georgia"/>
                <w:b w:val="false"/>
                <w:bCs w:val="false"/>
                <w:sz w:val="22"/>
                <w:szCs w:val="22"/>
              </w:rPr>
              <w:t xml:space="preserve">SBC</w:t>
            </w:r>
          </w:p>
        </w:tc>
        <w:tc>
          <w:p>
            <w:pPr>
              <w:jc w:val="left"/>
            </w:pPr>
            <w:r>
              <w:rPr>
                <w:rFonts w:ascii="Georgia" w:cs="Georgia" w:eastAsia="Georgia" w:hAnsi="Georgia"/>
                <w:b w:val="false"/>
                <w:bCs w:val="false"/>
                <w:sz w:val="22"/>
                <w:szCs w:val="22"/>
              </w:rPr>
              <w:t xml:space="preserve">7–12</w:t>
            </w:r>
          </w:p>
        </w:tc>
        <w:tc>
          <w:p>
            <w:pPr>
              <w:jc w:val="left"/>
            </w:pPr>
            <w:r>
              <w:rPr>
                <w:rFonts w:ascii="Georgia" w:cs="Georgia" w:eastAsia="Georgia" w:hAnsi="Georgia"/>
                <w:b w:val="false"/>
                <w:bCs w:val="false"/>
                <w:sz w:val="22"/>
                <w:szCs w:val="22"/>
              </w:rPr>
              <w:t xml:space="preserve">Node runtime + power/latency benchmark log</w:t>
            </w:r>
          </w:p>
        </w:tc>
      </w:tr>
      <w:tr>
        <w:tc>
          <w:p>
            <w:pPr>
              <w:jc w:val="left"/>
            </w:pPr>
            <w:r>
              <w:rPr>
                <w:rFonts w:ascii="Georgia" w:cs="Georgia" w:eastAsia="Georgia" w:hAnsi="Georgia"/>
                <w:b w:val="false"/>
                <w:bCs w:val="false"/>
                <w:sz w:val="22"/>
                <w:szCs w:val="22"/>
              </w:rPr>
              <w:t xml:space="preserve">4</w:t>
            </w:r>
          </w:p>
        </w:tc>
        <w:tc>
          <w:p>
            <w:pPr>
              <w:jc w:val="left"/>
            </w:pPr>
            <w:r>
              <w:rPr>
                <w:rFonts w:ascii="Georgia" w:cs="Georgia" w:eastAsia="Georgia" w:hAnsi="Georgia"/>
                <w:b w:val="false"/>
                <w:bCs w:val="false"/>
                <w:sz w:val="22"/>
                <w:szCs w:val="22"/>
              </w:rPr>
              <w:t xml:space="preserve">Consensus fusion design &amp; simulation</w:t>
            </w:r>
          </w:p>
        </w:tc>
        <w:tc>
          <w:p>
            <w:pPr>
              <w:jc w:val="left"/>
            </w:pPr>
            <w:r>
              <w:rPr>
                <w:rFonts w:ascii="Georgia" w:cs="Georgia" w:eastAsia="Georgia" w:hAnsi="Georgia"/>
                <w:b w:val="false"/>
                <w:bCs w:val="false"/>
                <w:sz w:val="22"/>
                <w:szCs w:val="22"/>
              </w:rPr>
              <w:t xml:space="preserve">Joint</w:t>
            </w:r>
          </w:p>
        </w:tc>
        <w:tc>
          <w:p>
            <w:pPr>
              <w:jc w:val="left"/>
            </w:pPr>
            <w:r>
              <w:rPr>
                <w:rFonts w:ascii="Georgia" w:cs="Georgia" w:eastAsia="Georgia" w:hAnsi="Georgia"/>
                <w:b w:val="false"/>
                <w:bCs w:val="false"/>
                <w:sz w:val="22"/>
                <w:szCs w:val="22"/>
              </w:rPr>
              <w:t xml:space="preserve">9–15</w:t>
            </w:r>
          </w:p>
        </w:tc>
        <w:tc>
          <w:p>
            <w:pPr>
              <w:jc w:val="left"/>
            </w:pPr>
            <w:r>
              <w:rPr>
                <w:rFonts w:ascii="Georgia" w:cs="Georgia" w:eastAsia="Georgia" w:hAnsi="Georgia"/>
                <w:b w:val="false"/>
                <w:bCs w:val="false"/>
                <w:sz w:val="22"/>
                <w:szCs w:val="22"/>
              </w:rPr>
              <w:t xml:space="preserve">Fusion protocol + simulated fusion-gain report</w:t>
            </w:r>
          </w:p>
        </w:tc>
      </w:tr>
      <w:tr>
        <w:tc>
          <w:p>
            <w:pPr>
              <w:jc w:val="left"/>
            </w:pPr>
            <w:r>
              <w:rPr>
                <w:rFonts w:ascii="Georgia" w:cs="Georgia" w:eastAsia="Georgia" w:hAnsi="Georgia"/>
                <w:b w:val="false"/>
                <w:bCs w:val="false"/>
                <w:sz w:val="22"/>
                <w:szCs w:val="22"/>
              </w:rPr>
              <w:t xml:space="preserve">5</w:t>
            </w:r>
          </w:p>
        </w:tc>
        <w:tc>
          <w:p>
            <w:pPr>
              <w:jc w:val="left"/>
            </w:pPr>
            <w:r>
              <w:rPr>
                <w:rFonts w:ascii="Georgia" w:cs="Georgia" w:eastAsia="Georgia" w:hAnsi="Georgia"/>
                <w:b w:val="false"/>
                <w:bCs w:val="false"/>
                <w:sz w:val="22"/>
                <w:szCs w:val="22"/>
              </w:rPr>
              <w:t xml:space="preserve">Integrated validation &amp; Phase II plan</w:t>
            </w:r>
          </w:p>
        </w:tc>
        <w:tc>
          <w:p>
            <w:pPr>
              <w:jc w:val="left"/>
            </w:pPr>
            <w:r>
              <w:rPr>
                <w:rFonts w:ascii="Georgia" w:cs="Georgia" w:eastAsia="Georgia" w:hAnsi="Georgia"/>
                <w:b w:val="false"/>
                <w:bCs w:val="false"/>
                <w:sz w:val="22"/>
                <w:szCs w:val="22"/>
              </w:rPr>
              <w:t xml:space="preserve">Joint</w:t>
            </w:r>
          </w:p>
        </w:tc>
        <w:tc>
          <w:p>
            <w:pPr>
              <w:jc w:val="left"/>
            </w:pPr>
            <w:r>
              <w:rPr>
                <w:rFonts w:ascii="Georgia" w:cs="Georgia" w:eastAsia="Georgia" w:hAnsi="Georgia"/>
                <w:b w:val="false"/>
                <w:bCs w:val="false"/>
                <w:sz w:val="22"/>
                <w:szCs w:val="22"/>
              </w:rPr>
              <w:t xml:space="preserve">14–18</w:t>
            </w:r>
          </w:p>
        </w:tc>
        <w:tc>
          <w:p>
            <w:pPr>
              <w:jc w:val="left"/>
            </w:pPr>
            <w:r>
              <w:rPr>
                <w:rFonts w:ascii="Georgia" w:cs="Georgia" w:eastAsia="Georgia" w:hAnsi="Georgia"/>
                <w:b w:val="false"/>
                <w:bCs w:val="false"/>
                <w:sz w:val="22"/>
                <w:szCs w:val="22"/>
              </w:rPr>
              <w:t xml:space="preserve">Phase I feasibility report + Phase II at-sea plan</w:t>
            </w:r>
          </w:p>
        </w:tc>
      </w:tr>
    </w:tbl>
    <w:p>
      <w:pPr>
        <w:jc w:val="center"/>
      </w:pPr>
      <w:r>
        <w:rPr>
          <w:rFonts w:ascii="Georgia" w:cs="Georgia" w:eastAsia="Georgia" w:hAnsi="Georgia"/>
          <w:b/>
          <w:bCs/>
          <w:i/>
          <w:iCs/>
          <w:sz w:val="22"/>
          <w:szCs w:val="22"/>
        </w:rPr>
        <w:t xml:space="preserve">Table 1: </w:t>
      </w:r>
      <w:r>
        <w:rPr>
          <w:rFonts w:ascii="Georgia" w:cs="Georgia" w:eastAsia="Georgia" w:hAnsi="Georgia"/>
          <w:i/>
          <w:iCs/>
          <w:sz w:val="22"/>
          <w:szCs w:val="22"/>
        </w:rPr>
        <w:t xml:space="preserve">Base period task summary (18-month period of performance).</w:t>
      </w:r>
    </w:p>
    <w:p>
      <w:pPr>
        <w:pStyle w:val="Heading3"/>
      </w:pPr>
      <w:r>
        <w:rPr>
          <w:rFonts w:ascii="Georgia" w:cs="Georgia" w:eastAsia="Georgia" w:hAnsi="Georgia"/>
          <w:b/>
          <w:bCs/>
          <w:sz w:val="22"/>
          <w:szCs w:val="22"/>
        </w:rPr>
        <w:t xml:space="preserve">Task 1 — Channel Characterization and Corpus (RI, Months 1–6)</w:t>
      </w:r>
    </w:p>
    <w:p>
      <w:pPr>
        <w:spacing w:after="0" w:before="0"/>
        <w:jc w:val="left"/>
      </w:pPr>
      <w:r>
        <w:rPr>
          <w:rFonts w:ascii="Georgia" w:cs="Georgia" w:eastAsia="Georgia" w:hAnsi="Georgia"/>
          <w:sz w:val="22"/>
          <w:szCs w:val="22"/>
        </w:rPr>
        <w:t xml:space="preserve">The Research Institution characterizes the undersea acoustic channel for the target shallow-water environments — multipath structure, absorption, and sound-speed profiles — and assembles a propagation-labeled, multi-node corpus from range collections and Distribution-A sources, balanced across threat classes and documented in a data card. Effort: RI Co-I 0.20 FTE + one graduate researcher. Deliverable: propagation-labeled multi-node corpus + data card.</w:t>
      </w:r>
    </w:p>
    <w:p>
      <w:pPr>
        <w:pStyle w:val="Heading3"/>
      </w:pPr>
      <w:r>
        <w:rPr>
          <w:rFonts w:ascii="Georgia" w:cs="Georgia" w:eastAsia="Georgia" w:hAnsi="Georgia"/>
          <w:b/>
          <w:bCs/>
          <w:sz w:val="22"/>
          <w:szCs w:val="22"/>
        </w:rPr>
        <w:t xml:space="preserve">Task 2 — Propagation-Aware Classifier (SBC, Months 3–9)</w:t>
      </w:r>
    </w:p>
    <w:p>
      <w:pPr>
        <w:spacing w:after="0" w:before="0"/>
        <w:jc w:val="left"/>
      </w:pPr>
      <w:r>
        <w:rPr>
          <w:rFonts w:ascii="Georgia" w:cs="Georgia" w:eastAsia="Georgia" w:hAnsi="Georgia"/>
          <w:sz w:val="22"/>
          <w:szCs w:val="22"/>
        </w:rPr>
        <w:t xml:space="preserve">Aerivio extends its 4-bit classifier to consume the RI’s propagation features as auxiliary inputs and emit calibrated per-node posteriors, retraining with quantization-aware training and saliency-guided pruning so the added inputs still fit the 2-watt budget. Effort: PI 0.25 FTE + ML engineer 0.20 FTE. Deliverable: extended 4-bit model + accuracy report on a session-disjoint split.</w:t>
      </w:r>
    </w:p>
    <w:p>
      <w:pPr>
        <w:pStyle w:val="Heading3"/>
      </w:pPr>
      <w:r>
        <w:rPr>
          <w:rFonts w:ascii="Georgia" w:cs="Georgia" w:eastAsia="Georgia" w:hAnsi="Georgia"/>
          <w:b/>
          <w:bCs/>
          <w:sz w:val="22"/>
          <w:szCs w:val="22"/>
        </w:rPr>
        <w:t xml:space="preserve">Task 3 — On-Node Runtime and Power (SBC, Months 7–12)</w:t>
      </w:r>
    </w:p>
    <w:p>
      <w:pPr>
        <w:spacing w:after="0" w:before="0"/>
        <w:jc w:val="left"/>
      </w:pPr>
      <w:r>
        <w:rPr>
          <w:rFonts w:ascii="Georgia" w:cs="Georgia" w:eastAsia="Georgia" w:hAnsi="Georgia"/>
          <w:sz w:val="22"/>
          <w:szCs w:val="22"/>
        </w:rPr>
        <w:t xml:space="preserve">Port the extended classifier to the 2-watt node, integrate the deterministic scheduler, and benchmark p99 latency and sustained rail power under continuous load. Effort: systems engineer 0.35 FTE. Deliverable: node runtime + power/latency benchmark log.</w:t>
      </w:r>
    </w:p>
    <w:p>
      <w:pPr>
        <w:pStyle w:val="Heading3"/>
      </w:pPr>
      <w:r>
        <w:rPr>
          <w:rFonts w:ascii="Georgia" w:cs="Georgia" w:eastAsia="Georgia" w:hAnsi="Georgia"/>
          <w:b/>
          <w:bCs/>
          <w:sz w:val="22"/>
          <w:szCs w:val="22"/>
        </w:rPr>
        <w:t xml:space="preserve">Task 4 — Consensus Fusion Design and Simulation (Joint, Months 9–15)</w:t>
      </w:r>
    </w:p>
    <w:p>
      <w:pPr>
        <w:spacing w:after="0" w:before="0"/>
        <w:jc w:val="left"/>
      </w:pPr>
      <w:r>
        <w:rPr>
          <w:rFonts w:ascii="Georgia" w:cs="Georgia" w:eastAsia="Georgia" w:hAnsi="Georgia"/>
          <w:sz w:val="22"/>
          <w:szCs w:val="22"/>
        </w:rPr>
        <w:t xml:space="preserve">Jointly design a bandwidth-frugal posterior-consensus rule for the low-rate acoustic link and quantify fusion gain in a multi-node simulator driven by the Task 1 corpus and channel models. SBC owns the on-node implementation; RI owns the channel-accurate simulation. Deliverable: fusion protocol specification + simulated fusion-gain report.</w:t>
      </w:r>
    </w:p>
    <w:p>
      <w:pPr>
        <w:pStyle w:val="Heading3"/>
      </w:pPr>
      <w:r>
        <w:rPr>
          <w:rFonts w:ascii="Georgia" w:cs="Georgia" w:eastAsia="Georgia" w:hAnsi="Georgia"/>
          <w:b/>
          <w:bCs/>
          <w:sz w:val="22"/>
          <w:szCs w:val="22"/>
        </w:rPr>
        <w:t xml:space="preserve">Task 5 — Integrated Validation and Phase II Plan (Joint, Months 14–18)</w:t>
      </w:r>
    </w:p>
    <w:p>
      <w:pPr>
        <w:spacing w:after="0" w:before="0"/>
        <w:jc w:val="left"/>
      </w:pPr>
      <w:r>
        <w:rPr>
          <w:rFonts w:ascii="Georgia" w:cs="Georgia" w:eastAsia="Georgia" w:hAnsi="Georgia"/>
          <w:sz w:val="22"/>
          <w:szCs w:val="22"/>
        </w:rPr>
        <w:t xml:space="preserve">Validate accuracy, per-node latency and power, and multi-node fusion gain against pre-registered gates (per-node balanced F1 ≥ 0.92; 4-node fused F1 ≥ 0.96; per-node p99 ≤ 150 ms; sustained ≤ 2.0 W). Document results, limitations, and the Phase II at-sea demonstration plan. Deliverable: Phase I feasibility report + Phase II plan.</w:t>
      </w:r>
    </w:p>
    <w:p>
      <w:pPr>
        <w:pageBreakBefore/>
      </w:pPr>
    </w:p>
    <w:p>
      <w:pPr>
        <w:pStyle w:val="Heading2"/>
      </w:pPr>
      <w:r>
        <w:rPr>
          <w:rFonts w:ascii="Georgia" w:cs="Georgia" w:eastAsia="Georgia" w:hAnsi="Georgia"/>
          <w:b/>
          <w:bCs/>
          <w:sz w:val="22"/>
          <w:szCs w:val="22"/>
        </w:rPr>
        <w:t xml:space="preserve">Option Period Tasks (Months 19–24, if exercised)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color="0f2942" w:val="solid"/>
          </w:tcPr>
          <w:p>
            <w:pPr>
              <w:jc w:val="left"/>
            </w:pPr>
            <w:r>
              <w:rPr>
                <w:rFonts w:ascii="Georgia" w:cs="Georgia" w:eastAsia="Georgia" w:hAnsi="Georgia"/>
                <w:b/>
                <w:bCs/>
                <w:sz w:val="22"/>
                <w:szCs w:val="22"/>
              </w:rPr>
              <w:t xml:space="preserve">Task</w:t>
            </w:r>
          </w:p>
        </w:tc>
        <w:tc>
          <w:tcPr>
            <w:tcW w:type="pct" w:w="20%"/>
            <w:shd w:color="0f2942" w:val="solid"/>
          </w:tcPr>
          <w:p>
            <w:pPr>
              <w:jc w:val="left"/>
            </w:pPr>
            <w:r>
              <w:rPr>
                <w:rFonts w:ascii="Georgia" w:cs="Georgia" w:eastAsia="Georgia" w:hAnsi="Georgia"/>
                <w:b/>
                <w:bCs/>
                <w:sz w:val="22"/>
                <w:szCs w:val="22"/>
              </w:rPr>
              <w:t xml:space="preserve">Title</w:t>
            </w:r>
          </w:p>
        </w:tc>
        <w:tc>
          <w:tcPr>
            <w:tcW w:type="pct" w:w="20%"/>
            <w:shd w:color="0f2942" w:val="solid"/>
          </w:tcPr>
          <w:p>
            <w:pPr>
              <w:jc w:val="left"/>
            </w:pPr>
            <w:r>
              <w:rPr>
                <w:rFonts w:ascii="Georgia" w:cs="Georgia" w:eastAsia="Georgia" w:hAnsi="Georgia"/>
                <w:b/>
                <w:bCs/>
                <w:sz w:val="22"/>
                <w:szCs w:val="22"/>
              </w:rPr>
              <w:t xml:space="preserve">Lead</w:t>
            </w:r>
          </w:p>
        </w:tc>
        <w:tc>
          <w:tcPr>
            <w:tcW w:type="pct" w:w="20%"/>
            <w:shd w:color="0f2942" w:val="solid"/>
          </w:tcPr>
          <w:p>
            <w:pPr>
              <w:jc w:val="left"/>
            </w:pPr>
            <w:r>
              <w:rPr>
                <w:rFonts w:ascii="Georgia" w:cs="Georgia" w:eastAsia="Georgia" w:hAnsi="Georgia"/>
                <w:b/>
                <w:bCs/>
                <w:sz w:val="22"/>
                <w:szCs w:val="22"/>
              </w:rPr>
              <w:t xml:space="preserve">Months</w:t>
            </w:r>
          </w:p>
        </w:tc>
        <w:tc>
          <w:tcPr>
            <w:tcW w:type="pct" w:w="20%"/>
            <w:shd w:color="0f2942" w:val="solid"/>
          </w:tcPr>
          <w:p>
            <w:pPr>
              <w:jc w:val="left"/>
            </w:pPr>
            <w:r>
              <w:rPr>
                <w:rFonts w:ascii="Georgia" w:cs="Georgia" w:eastAsia="Georgia" w:hAnsi="Georgia"/>
                <w:b/>
                <w:bCs/>
                <w:sz w:val="22"/>
                <w:szCs w:val="22"/>
              </w:rPr>
              <w:t xml:space="preserve">Deliverable</w:t>
            </w:r>
          </w:p>
        </w:tc>
      </w:tr>
      <w:tr>
        <w:tc>
          <w:p>
            <w:pPr>
              <w:jc w:val="left"/>
            </w:pPr>
            <w:r>
              <w:rPr>
                <w:rFonts w:ascii="Georgia" w:cs="Georgia" w:eastAsia="Georgia" w:hAnsi="Georgia"/>
                <w:b w:val="false"/>
                <w:bCs w:val="false"/>
                <w:sz w:val="22"/>
                <w:szCs w:val="22"/>
              </w:rPr>
              <w:t xml:space="preserve">6</w:t>
            </w:r>
          </w:p>
        </w:tc>
        <w:tc>
          <w:p>
            <w:pPr>
              <w:jc w:val="left"/>
            </w:pPr>
            <w:r>
              <w:rPr>
                <w:rFonts w:ascii="Georgia" w:cs="Georgia" w:eastAsia="Georgia" w:hAnsi="Georgia"/>
                <w:b w:val="false"/>
                <w:bCs w:val="false"/>
                <w:sz w:val="22"/>
                <w:szCs w:val="22"/>
              </w:rPr>
              <w:t xml:space="preserve">Hardware-in-the-loop node prototype</w:t>
            </w:r>
          </w:p>
        </w:tc>
        <w:tc>
          <w:p>
            <w:pPr>
              <w:jc w:val="left"/>
            </w:pPr>
            <w:r>
              <w:rPr>
                <w:rFonts w:ascii="Georgia" w:cs="Georgia" w:eastAsia="Georgia" w:hAnsi="Georgia"/>
                <w:b w:val="false"/>
                <w:bCs w:val="false"/>
                <w:sz w:val="22"/>
                <w:szCs w:val="22"/>
              </w:rPr>
              <w:t xml:space="preserve">SBC</w:t>
            </w:r>
          </w:p>
        </w:tc>
        <w:tc>
          <w:p>
            <w:pPr>
              <w:jc w:val="left"/>
            </w:pPr>
            <w:r>
              <w:rPr>
                <w:rFonts w:ascii="Georgia" w:cs="Georgia" w:eastAsia="Georgia" w:hAnsi="Georgia"/>
                <w:b w:val="false"/>
                <w:bCs w:val="false"/>
                <w:sz w:val="22"/>
                <w:szCs w:val="22"/>
              </w:rPr>
              <w:t xml:space="preserve">19–22</w:t>
            </w:r>
          </w:p>
        </w:tc>
        <w:tc>
          <w:p>
            <w:pPr>
              <w:jc w:val="left"/>
            </w:pPr>
            <w:r>
              <w:rPr>
                <w:rFonts w:ascii="Georgia" w:cs="Georgia" w:eastAsia="Georgia" w:hAnsi="Georgia"/>
                <w:b w:val="false"/>
                <w:bCs w:val="false"/>
                <w:sz w:val="22"/>
                <w:szCs w:val="22"/>
              </w:rPr>
              <w:t xml:space="preserve">Multi-node HIL bench + test report</w:t>
            </w:r>
          </w:p>
        </w:tc>
      </w:tr>
      <w:tr>
        <w:tc>
          <w:p>
            <w:pPr>
              <w:jc w:val="left"/>
            </w:pPr>
            <w:r>
              <w:rPr>
                <w:rFonts w:ascii="Georgia" w:cs="Georgia" w:eastAsia="Georgia" w:hAnsi="Georgia"/>
                <w:b w:val="false"/>
                <w:bCs w:val="false"/>
                <w:sz w:val="22"/>
                <w:szCs w:val="22"/>
              </w:rPr>
              <w:t xml:space="preserve">7</w:t>
            </w:r>
          </w:p>
        </w:tc>
        <w:tc>
          <w:p>
            <w:pPr>
              <w:jc w:val="left"/>
            </w:pPr>
            <w:r>
              <w:rPr>
                <w:rFonts w:ascii="Georgia" w:cs="Georgia" w:eastAsia="Georgia" w:hAnsi="Georgia"/>
                <w:b w:val="false"/>
                <w:bCs w:val="false"/>
                <w:sz w:val="22"/>
                <w:szCs w:val="22"/>
              </w:rPr>
              <w:t xml:space="preserve">Tank/at-sea pre-demonstration</w:t>
            </w:r>
          </w:p>
        </w:tc>
        <w:tc>
          <w:p>
            <w:pPr>
              <w:jc w:val="left"/>
            </w:pPr>
            <w:r>
              <w:rPr>
                <w:rFonts w:ascii="Georgia" w:cs="Georgia" w:eastAsia="Georgia" w:hAnsi="Georgia"/>
                <w:b w:val="false"/>
                <w:bCs w:val="false"/>
                <w:sz w:val="22"/>
                <w:szCs w:val="22"/>
              </w:rPr>
              <w:t xml:space="preserve">Joint</w:t>
            </w:r>
          </w:p>
        </w:tc>
        <w:tc>
          <w:p>
            <w:pPr>
              <w:jc w:val="left"/>
            </w:pPr>
            <w:r>
              <w:rPr>
                <w:rFonts w:ascii="Georgia" w:cs="Georgia" w:eastAsia="Georgia" w:hAnsi="Georgia"/>
                <w:b w:val="false"/>
                <w:bCs w:val="false"/>
                <w:sz w:val="22"/>
                <w:szCs w:val="22"/>
              </w:rPr>
              <w:t xml:space="preserve">21–24</w:t>
            </w:r>
          </w:p>
        </w:tc>
        <w:tc>
          <w:p>
            <w:pPr>
              <w:jc w:val="left"/>
            </w:pPr>
            <w:r>
              <w:rPr>
                <w:rFonts w:ascii="Georgia" w:cs="Georgia" w:eastAsia="Georgia" w:hAnsi="Georgia"/>
                <w:b w:val="false"/>
                <w:bCs w:val="false"/>
                <w:sz w:val="22"/>
                <w:szCs w:val="22"/>
              </w:rPr>
              <w:t xml:space="preserve">Range pre-demo results + Phase II readiness memo</w:t>
            </w:r>
          </w:p>
        </w:tc>
      </w:tr>
    </w:tbl>
    <w:p>
      <w:pPr>
        <w:jc w:val="center"/>
      </w:pPr>
      <w:r>
        <w:rPr>
          <w:rFonts w:ascii="Georgia" w:cs="Georgia" w:eastAsia="Georgia" w:hAnsi="Georgia"/>
          <w:b/>
          <w:bCs/>
          <w:i/>
          <w:iCs/>
          <w:sz w:val="22"/>
          <w:szCs w:val="22"/>
        </w:rPr>
        <w:t xml:space="preserve">Table 2: </w:t>
      </w:r>
      <w:r>
        <w:rPr>
          <w:rFonts w:ascii="Georgia" w:cs="Georgia" w:eastAsia="Georgia" w:hAnsi="Georgia"/>
          <w:i/>
          <w:iCs/>
          <w:sz w:val="22"/>
          <w:szCs w:val="22"/>
        </w:rPr>
        <w:t xml:space="preserve">Priced option task summary (6-month period of performance).</w:t>
      </w:r>
    </w:p>
    <w:p>
      <w:pPr>
        <w:pStyle w:val="Heading3"/>
      </w:pPr>
      <w:r>
        <w:rPr>
          <w:rFonts w:ascii="Georgia" w:cs="Georgia" w:eastAsia="Georgia" w:hAnsi="Georgia"/>
          <w:b/>
          <w:bCs/>
          <w:sz w:val="22"/>
          <w:szCs w:val="22"/>
        </w:rPr>
        <w:t xml:space="preserve">Task 6 — Hardware-in-the-Loop Node Prototype (SBC, Months 19–22)</w:t>
      </w:r>
    </w:p>
    <w:p>
      <w:pPr>
        <w:spacing w:after="0" w:before="0"/>
        <w:jc w:val="left"/>
      </w:pPr>
      <w:r>
        <w:rPr>
          <w:rFonts w:ascii="Georgia" w:cs="Georgia" w:eastAsia="Georgia" w:hAnsi="Georgia"/>
          <w:sz w:val="22"/>
          <w:szCs w:val="22"/>
        </w:rPr>
        <w:t xml:space="preserve">Assemble a multi-node hardware-in-the-loop bench and exercise the fusion protocol across physical nodes under injected channel conditions. Effort: systems engineer 0.30 FTE + PI 0.10 FTE. Deliverable: HIL bench + test report.</w:t>
      </w:r>
    </w:p>
    <w:p>
      <w:pPr>
        <w:pStyle w:val="Heading3"/>
      </w:pPr>
      <w:r>
        <w:rPr>
          <w:rFonts w:ascii="Georgia" w:cs="Georgia" w:eastAsia="Georgia" w:hAnsi="Georgia"/>
          <w:b/>
          <w:bCs/>
          <w:sz w:val="22"/>
          <w:szCs w:val="22"/>
        </w:rPr>
        <w:t xml:space="preserve">Task 7 — Tank/At-Sea Pre-Demonstration (Joint, Months 21–24)</w:t>
      </w:r>
    </w:p>
    <w:p>
      <w:pPr>
        <w:spacing w:after="0" w:before="0"/>
        <w:jc w:val="left"/>
      </w:pPr>
      <w:r>
        <w:rPr>
          <w:rFonts w:ascii="Georgia" w:cs="Georgia" w:eastAsia="Georgia" w:hAnsi="Georgia"/>
          <w:sz w:val="22"/>
          <w:szCs w:val="22"/>
        </w:rPr>
        <w:t xml:space="preserve">Conduct a controlled tank and short at-sea pre-demonstration at the RI range to confirm fusion gain under real propagation, de-risking the Phase II demonstration. Deliverable: range pre-demo results + Phase II readiness memo.</w:t>
      </w:r>
    </w:p>
    <w:p>
      <w:pPr>
        <w:pageBreakBefore/>
      </w:pPr>
    </w:p>
    <w:p>
      <w:pPr>
        <w:pStyle w:val="Heading2"/>
      </w:pPr>
      <w:r>
        <w:rPr>
          <w:rFonts w:ascii="Georgia" w:cs="Georgia" w:eastAsia="Georgia" w:hAnsi="Georgia"/>
          <w:b/>
          <w:bCs/>
          <w:sz w:val="22"/>
          <w:szCs w:val="22"/>
        </w:rPr>
        <w:t xml:space="preserve">Risk Management</w:t>
      </w:r>
    </w:p>
    <w:p>
      <w:pPr>
        <w:spacing w:after="0" w:before="0"/>
        <w:jc w:val="left"/>
      </w:pPr>
      <w:r>
        <w:rPr>
          <w:rFonts w:ascii="Georgia" w:cs="Georgia" w:eastAsia="Georgia" w:hAnsi="Georgia"/>
          <w:sz w:val="22"/>
          <w:szCs w:val="22"/>
        </w:rPr>
        <w:t xml:space="preserve">Feasibility is judged against pre-registered gates, all of which must pass. The principal technical risks and their mitigations are tracked from kickoff and reviewed at each monthly status memo; the mid-base review (Month 9) is the decision point for the Task 3 latency budget and the Task 4 fusion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color="0f2942" w:val="solid"/>
          </w:tcPr>
          <w:p>
            <w:pPr>
              <w:jc w:val="left"/>
            </w:pPr>
            <w:r>
              <w:rPr>
                <w:rFonts w:ascii="Georgia" w:cs="Georgia" w:eastAsia="Georgia" w:hAnsi="Georgia"/>
                <w:b/>
                <w:bCs/>
                <w:sz w:val="22"/>
                <w:szCs w:val="22"/>
              </w:rPr>
              <w:t xml:space="preserve">Risk</w:t>
            </w:r>
          </w:p>
        </w:tc>
        <w:tc>
          <w:tcPr>
            <w:tcW w:type="pct" w:w="25%"/>
            <w:shd w:color="0f2942" w:val="solid"/>
          </w:tcPr>
          <w:p>
            <w:pPr>
              <w:jc w:val="left"/>
            </w:pPr>
            <w:r>
              <w:rPr>
                <w:rFonts w:ascii="Georgia" w:cs="Georgia" w:eastAsia="Georgia" w:hAnsi="Georgia"/>
                <w:b/>
                <w:bCs/>
                <w:sz w:val="22"/>
                <w:szCs w:val="22"/>
              </w:rPr>
              <w:t xml:space="preserve">Likelihood</w:t>
            </w:r>
          </w:p>
        </w:tc>
        <w:tc>
          <w:tcPr>
            <w:tcW w:type="pct" w:w="25%"/>
            <w:shd w:color="0f2942" w:val="solid"/>
          </w:tcPr>
          <w:p>
            <w:pPr>
              <w:jc w:val="left"/>
            </w:pPr>
            <w:r>
              <w:rPr>
                <w:rFonts w:ascii="Georgia" w:cs="Georgia" w:eastAsia="Georgia" w:hAnsi="Georgia"/>
                <w:b/>
                <w:bCs/>
                <w:sz w:val="22"/>
                <w:szCs w:val="22"/>
              </w:rPr>
              <w:t xml:space="preserve">Impact</w:t>
            </w:r>
          </w:p>
        </w:tc>
        <w:tc>
          <w:tcPr>
            <w:tcW w:type="pct" w:w="25%"/>
            <w:shd w:color="0f2942" w:val="solid"/>
          </w:tcPr>
          <w:p>
            <w:pPr>
              <w:jc w:val="left"/>
            </w:pPr>
            <w:r>
              <w:rPr>
                <w:rFonts w:ascii="Georgia" w:cs="Georgia" w:eastAsia="Georgia" w:hAnsi="Georgia"/>
                <w:b/>
                <w:bCs/>
                <w:sz w:val="22"/>
                <w:szCs w:val="22"/>
              </w:rPr>
              <w:t xml:space="preserve">Mitigation</w:t>
            </w:r>
          </w:p>
        </w:tc>
      </w:tr>
      <w:tr>
        <w:tc>
          <w:p>
            <w:pPr>
              <w:jc w:val="left"/>
            </w:pPr>
            <w:r>
              <w:rPr>
                <w:rFonts w:ascii="Georgia" w:cs="Georgia" w:eastAsia="Georgia" w:hAnsi="Georgia"/>
                <w:b w:val="false"/>
                <w:bCs w:val="false"/>
                <w:sz w:val="22"/>
                <w:szCs w:val="22"/>
              </w:rPr>
              <w:t xml:space="preserve">Propagation features do not improve accuracy</w:t>
            </w:r>
          </w:p>
        </w:tc>
        <w:tc>
          <w:p>
            <w:pPr>
              <w:jc w:val="left"/>
            </w:pPr>
            <w:r>
              <w:rPr>
                <w:rFonts w:ascii="Georgia" w:cs="Georgia" w:eastAsia="Georgia" w:hAnsi="Georgia"/>
                <w:b w:val="false"/>
                <w:bCs w:val="false"/>
                <w:sz w:val="22"/>
                <w:szCs w:val="22"/>
              </w:rPr>
              <w:t xml:space="preserve">Medium</w:t>
            </w:r>
          </w:p>
        </w:tc>
        <w:tc>
          <w:p>
            <w:pPr>
              <w:jc w:val="left"/>
            </w:pPr>
            <w:r>
              <w:rPr>
                <w:rFonts w:ascii="Georgia" w:cs="Georgia" w:eastAsia="Georgia" w:hAnsi="Georgia"/>
                <w:b w:val="false"/>
                <w:bCs w:val="false"/>
                <w:sz w:val="22"/>
                <w:szCs w:val="22"/>
              </w:rPr>
              <w:t xml:space="preserve">High</w:t>
            </w:r>
          </w:p>
        </w:tc>
        <w:tc>
          <w:p>
            <w:pPr>
              <w:jc w:val="left"/>
            </w:pPr>
            <w:r>
              <w:rPr>
                <w:rFonts w:ascii="Georgia" w:cs="Georgia" w:eastAsia="Georgia" w:hAnsi="Georgia"/>
                <w:b w:val="false"/>
                <w:bCs w:val="false"/>
                <w:sz w:val="22"/>
                <w:szCs w:val="22"/>
              </w:rPr>
              <w:t xml:space="preserve">Ablate auxiliary inputs early (Task 2); fall back to per-node calibration only</w:t>
            </w:r>
          </w:p>
        </w:tc>
      </w:tr>
      <w:tr>
        <w:tc>
          <w:p>
            <w:pPr>
              <w:jc w:val="left"/>
            </w:pPr>
            <w:r>
              <w:rPr>
                <w:rFonts w:ascii="Georgia" w:cs="Georgia" w:eastAsia="Georgia" w:hAnsi="Georgia"/>
                <w:b w:val="false"/>
                <w:bCs w:val="false"/>
                <w:sz w:val="22"/>
                <w:szCs w:val="22"/>
              </w:rPr>
              <w:t xml:space="preserve">Fusion gain below target on low-rate link</w:t>
            </w:r>
          </w:p>
        </w:tc>
        <w:tc>
          <w:p>
            <w:pPr>
              <w:jc w:val="left"/>
            </w:pPr>
            <w:r>
              <w:rPr>
                <w:rFonts w:ascii="Georgia" w:cs="Georgia" w:eastAsia="Georgia" w:hAnsi="Georgia"/>
                <w:b w:val="false"/>
                <w:bCs w:val="false"/>
                <w:sz w:val="22"/>
                <w:szCs w:val="22"/>
              </w:rPr>
              <w:t xml:space="preserve">Medium</w:t>
            </w:r>
          </w:p>
        </w:tc>
        <w:tc>
          <w:p>
            <w:pPr>
              <w:jc w:val="left"/>
            </w:pPr>
            <w:r>
              <w:rPr>
                <w:rFonts w:ascii="Georgia" w:cs="Georgia" w:eastAsia="Georgia" w:hAnsi="Georgia"/>
                <w:b w:val="false"/>
                <w:bCs w:val="false"/>
                <w:sz w:val="22"/>
                <w:szCs w:val="22"/>
              </w:rPr>
              <w:t xml:space="preserve">High</w:t>
            </w:r>
          </w:p>
        </w:tc>
        <w:tc>
          <w:p>
            <w:pPr>
              <w:jc w:val="left"/>
            </w:pPr>
            <w:r>
              <w:rPr>
                <w:rFonts w:ascii="Georgia" w:cs="Georgia" w:eastAsia="Georgia" w:hAnsi="Georgia"/>
                <w:b w:val="false"/>
                <w:bCs w:val="false"/>
                <w:sz w:val="22"/>
                <w:szCs w:val="22"/>
              </w:rPr>
              <w:t xml:space="preserve">Bandwidth-frugal posterior sharing; simulate link budget in Task 4 before commit</w:t>
            </w:r>
          </w:p>
        </w:tc>
      </w:tr>
      <w:tr>
        <w:tc>
          <w:p>
            <w:pPr>
              <w:jc w:val="left"/>
            </w:pPr>
            <w:r>
              <w:rPr>
                <w:rFonts w:ascii="Georgia" w:cs="Georgia" w:eastAsia="Georgia" w:hAnsi="Georgia"/>
                <w:b w:val="false"/>
                <w:bCs w:val="false"/>
                <w:sz w:val="22"/>
                <w:szCs w:val="22"/>
              </w:rPr>
              <w:t xml:space="preserve">On-node latency exceeds 150 ms with fusion</w:t>
            </w:r>
          </w:p>
        </w:tc>
        <w:tc>
          <w:p>
            <w:pPr>
              <w:jc w:val="left"/>
            </w:pPr>
            <w:r>
              <w:rPr>
                <w:rFonts w:ascii="Georgia" w:cs="Georgia" w:eastAsia="Georgia" w:hAnsi="Georgia"/>
                <w:b w:val="false"/>
                <w:bCs w:val="false"/>
                <w:sz w:val="22"/>
                <w:szCs w:val="22"/>
              </w:rPr>
              <w:t xml:space="preserve">Low</w:t>
            </w:r>
          </w:p>
        </w:tc>
        <w:tc>
          <w:p>
            <w:pPr>
              <w:jc w:val="left"/>
            </w:pPr>
            <w:r>
              <w:rPr>
                <w:rFonts w:ascii="Georgia" w:cs="Georgia" w:eastAsia="Georgia" w:hAnsi="Georgia"/>
                <w:b w:val="false"/>
                <w:bCs w:val="false"/>
                <w:sz w:val="22"/>
                <w:szCs w:val="22"/>
              </w:rPr>
              <w:t xml:space="preserve">High</w:t>
            </w:r>
          </w:p>
        </w:tc>
        <w:tc>
          <w:p>
            <w:pPr>
              <w:jc w:val="left"/>
            </w:pPr>
            <w:r>
              <w:rPr>
                <w:rFonts w:ascii="Georgia" w:cs="Georgia" w:eastAsia="Georgia" w:hAnsi="Georgia"/>
                <w:b w:val="false"/>
                <w:bCs w:val="false"/>
                <w:sz w:val="22"/>
                <w:szCs w:val="22"/>
              </w:rPr>
              <w:t xml:space="preserve">Reserve cores + static schedule; profile fusion cost early in Task 3</w:t>
            </w:r>
          </w:p>
        </w:tc>
      </w:tr>
      <w:tr>
        <w:tc>
          <w:p>
            <w:pPr>
              <w:jc w:val="left"/>
            </w:pPr>
            <w:r>
              <w:rPr>
                <w:rFonts w:ascii="Georgia" w:cs="Georgia" w:eastAsia="Georgia" w:hAnsi="Georgia"/>
                <w:b w:val="false"/>
                <w:bCs w:val="false"/>
                <w:sz w:val="22"/>
                <w:szCs w:val="22"/>
              </w:rPr>
              <w:t xml:space="preserve">RI corpus/range schedule slips</w:t>
            </w:r>
          </w:p>
        </w:tc>
        <w:tc>
          <w:p>
            <w:pPr>
              <w:jc w:val="left"/>
            </w:pPr>
            <w:r>
              <w:rPr>
                <w:rFonts w:ascii="Georgia" w:cs="Georgia" w:eastAsia="Georgia" w:hAnsi="Georgia"/>
                <w:b w:val="false"/>
                <w:bCs w:val="false"/>
                <w:sz w:val="22"/>
                <w:szCs w:val="22"/>
              </w:rPr>
              <w:t xml:space="preserve">Low</w:t>
            </w:r>
          </w:p>
        </w:tc>
        <w:tc>
          <w:p>
            <w:pPr>
              <w:jc w:val="left"/>
            </w:pPr>
            <w:r>
              <w:rPr>
                <w:rFonts w:ascii="Georgia" w:cs="Georgia" w:eastAsia="Georgia" w:hAnsi="Georgia"/>
                <w:b w:val="false"/>
                <w:bCs w:val="false"/>
                <w:sz w:val="22"/>
                <w:szCs w:val="22"/>
              </w:rPr>
              <w:t xml:space="preserve">Medium</w:t>
            </w:r>
          </w:p>
        </w:tc>
        <w:tc>
          <w:p>
            <w:pPr>
              <w:jc w:val="left"/>
            </w:pPr>
            <w:r>
              <w:rPr>
                <w:rFonts w:ascii="Georgia" w:cs="Georgia" w:eastAsia="Georgia" w:hAnsi="Georgia"/>
                <w:b w:val="false"/>
                <w:bCs w:val="false"/>
                <w:sz w:val="22"/>
                <w:szCs w:val="22"/>
              </w:rPr>
              <w:t xml:space="preserve">Task 1 front-loaded; Distribution-A sources bridge until range data lands</w:t>
            </w:r>
          </w:p>
        </w:tc>
      </w:tr>
      <w:tr>
        <w:tc>
          <w:p>
            <w:pPr>
              <w:jc w:val="left"/>
            </w:pPr>
            <w:r>
              <w:rPr>
                <w:rFonts w:ascii="Georgia" w:cs="Georgia" w:eastAsia="Georgia" w:hAnsi="Georgia"/>
                <w:b w:val="false"/>
                <w:bCs w:val="false"/>
                <w:sz w:val="22"/>
                <w:szCs w:val="22"/>
              </w:rPr>
              <w:t xml:space="preserve">SBC/RI interface churn</w:t>
            </w:r>
          </w:p>
        </w:tc>
        <w:tc>
          <w:p>
            <w:pPr>
              <w:jc w:val="left"/>
            </w:pPr>
            <w:r>
              <w:rPr>
                <w:rFonts w:ascii="Georgia" w:cs="Georgia" w:eastAsia="Georgia" w:hAnsi="Georgia"/>
                <w:b w:val="false"/>
                <w:bCs w:val="false"/>
                <w:sz w:val="22"/>
                <w:szCs w:val="22"/>
              </w:rPr>
              <w:t xml:space="preserve">Low</w:t>
            </w:r>
          </w:p>
        </w:tc>
        <w:tc>
          <w:p>
            <w:pPr>
              <w:jc w:val="left"/>
            </w:pPr>
            <w:r>
              <w:rPr>
                <w:rFonts w:ascii="Georgia" w:cs="Georgia" w:eastAsia="Georgia" w:hAnsi="Georgia"/>
                <w:b w:val="false"/>
                <w:bCs w:val="false"/>
                <w:sz w:val="22"/>
                <w:szCs w:val="22"/>
              </w:rPr>
              <w:t xml:space="preserve">Medium</w:t>
            </w:r>
          </w:p>
        </w:tc>
        <w:tc>
          <w:p>
            <w:pPr>
              <w:jc w:val="left"/>
            </w:pPr>
            <w:r>
              <w:rPr>
                <w:rFonts w:ascii="Georgia" w:cs="Georgia" w:eastAsia="Georgia" w:hAnsi="Georgia"/>
                <w:b w:val="false"/>
                <w:bCs w:val="false"/>
                <w:sz w:val="22"/>
                <w:szCs w:val="22"/>
              </w:rPr>
              <w:t xml:space="preserve">Shared data card + interface control memo at Month 3</w:t>
            </w:r>
          </w:p>
        </w:tc>
      </w:tr>
    </w:tbl>
    <w:p>
      <w:pPr>
        <w:jc w:val="center"/>
      </w:pPr>
      <w:r>
        <w:rPr>
          <w:rFonts w:ascii="Georgia" w:cs="Georgia" w:eastAsia="Georgia" w:hAnsi="Georgia"/>
          <w:b/>
          <w:bCs/>
          <w:i/>
          <w:iCs/>
          <w:sz w:val="22"/>
          <w:szCs w:val="22"/>
        </w:rPr>
        <w:t xml:space="preserve">Table 3: </w:t>
      </w:r>
      <w:r>
        <w:rPr>
          <w:rFonts w:ascii="Georgia" w:cs="Georgia" w:eastAsia="Georgia" w:hAnsi="Georgia"/>
          <w:i/>
          <w:iCs/>
          <w:sz w:val="22"/>
          <w:szCs w:val="22"/>
        </w:rPr>
        <w:t xml:space="preserve">Principal Phase I risks, likelihood, impact, and mitigation.</w:t>
      </w:r>
    </w:p>
    <w:p>
      <w:pPr>
        <w:spacing w:after="0" w:before="0"/>
        <w:jc w:val="left"/>
      </w:pPr>
      <w:r>
        <w:rPr>
          <w:rFonts w:ascii="Georgia" w:cs="Georgia" w:eastAsia="Georgia" w:hAnsi="Georgia"/>
          <w:sz w:val="22"/>
          <w:szCs w:val="22"/>
        </w:rPr>
        <w:t xml:space="preserve">Cross-cutting mitigations: the effort is structured so that the SBC edge-AI track and the RI ocean-acoustics track can proceed in parallel with a small number of well-defined interfaces (the propagation feature schema and the posterior format), limiting the blast radius of any single slip.</w:t>
      </w:r>
    </w:p>
    <w:p>
      <w:pPr>
        <w:pageBreakBefore/>
      </w:pPr>
    </w:p>
    <w:p>
      <w:pPr>
        <w:pStyle w:val="Heading2"/>
      </w:pPr>
      <w:r>
        <w:rPr>
          <w:rFonts w:ascii="Georgia" w:cs="Georgia" w:eastAsia="Georgia" w:hAnsi="Georgia"/>
          <w:b/>
          <w:bCs/>
          <w:sz w:val="22"/>
          <w:szCs w:val="22"/>
        </w:rPr>
        <w:t xml:space="preserve">Deliverables and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color="0f2942" w:val="solid"/>
          </w:tcPr>
          <w:p>
            <w:pPr>
              <w:jc w:val="left"/>
            </w:pPr>
            <w:r>
              <w:rPr>
                <w:rFonts w:ascii="Georgia" w:cs="Georgia" w:eastAsia="Georgia" w:hAnsi="Georgia"/>
                <w:b/>
                <w:bCs/>
                <w:sz w:val="22"/>
                <w:szCs w:val="22"/>
              </w:rPr>
              <w:t xml:space="preserve">Milestone</w:t>
            </w:r>
          </w:p>
        </w:tc>
        <w:tc>
          <w:tcPr>
            <w:tcW w:type="pct" w:w="33.333333333333336%"/>
            <w:shd w:color="0f2942" w:val="solid"/>
          </w:tcPr>
          <w:p>
            <w:pPr>
              <w:jc w:val="left"/>
            </w:pPr>
            <w:r>
              <w:rPr>
                <w:rFonts w:ascii="Georgia" w:cs="Georgia" w:eastAsia="Georgia" w:hAnsi="Georgia"/>
                <w:b/>
                <w:bCs/>
                <w:sz w:val="22"/>
                <w:szCs w:val="22"/>
              </w:rPr>
              <w:t xml:space="preserve">Month</w:t>
            </w:r>
          </w:p>
        </w:tc>
        <w:tc>
          <w:tcPr>
            <w:tcW w:type="pct" w:w="33.333333333333336%"/>
            <w:shd w:color="0f2942" w:val="solid"/>
          </w:tcPr>
          <w:p>
            <w:pPr>
              <w:jc w:val="left"/>
            </w:pPr>
            <w:r>
              <w:rPr>
                <w:rFonts w:ascii="Georgia" w:cs="Georgia" w:eastAsia="Georgia" w:hAnsi="Georgia"/>
                <w:b/>
                <w:bCs/>
                <w:sz w:val="22"/>
                <w:szCs w:val="22"/>
              </w:rPr>
              <w:t xml:space="preserve">Responsible</w:t>
            </w:r>
          </w:p>
        </w:tc>
      </w:tr>
      <w:tr>
        <w:tc>
          <w:p>
            <w:pPr>
              <w:jc w:val="left"/>
            </w:pPr>
            <w:r>
              <w:rPr>
                <w:rFonts w:ascii="Georgia" w:cs="Georgia" w:eastAsia="Georgia" w:hAnsi="Georgia"/>
                <w:b w:val="false"/>
                <w:bCs w:val="false"/>
                <w:sz w:val="22"/>
                <w:szCs w:val="22"/>
              </w:rPr>
              <w:t xml:space="preserve">Kickoff + Allocation of Rights confirmed</w:t>
            </w:r>
          </w:p>
        </w:tc>
        <w:tc>
          <w:p>
            <w:pPr>
              <w:jc w:val="left"/>
            </w:pPr>
            <w:r>
              <w:rPr>
                <w:rFonts w:ascii="Georgia" w:cs="Georgia" w:eastAsia="Georgia" w:hAnsi="Georgia"/>
                <w:b w:val="false"/>
                <w:bCs w:val="false"/>
                <w:sz w:val="22"/>
                <w:szCs w:val="22"/>
              </w:rPr>
              <w:t xml:space="preserve">1</w:t>
            </w:r>
          </w:p>
        </w:tc>
        <w:tc>
          <w:p>
            <w:pPr>
              <w:jc w:val="left"/>
            </w:pPr>
            <w:r>
              <w:rPr>
                <w:rFonts w:ascii="Georgia" w:cs="Georgia" w:eastAsia="Georgia" w:hAnsi="Georgia"/>
                <w:b w:val="false"/>
                <w:bCs w:val="false"/>
                <w:sz w:val="22"/>
                <w:szCs w:val="22"/>
              </w:rPr>
              <w:t xml:space="preserve">Joint</w:t>
            </w:r>
          </w:p>
        </w:tc>
      </w:tr>
      <w:tr>
        <w:tc>
          <w:p>
            <w:pPr>
              <w:jc w:val="left"/>
            </w:pPr>
            <w:r>
              <w:rPr>
                <w:rFonts w:ascii="Georgia" w:cs="Georgia" w:eastAsia="Georgia" w:hAnsi="Georgia"/>
                <w:b w:val="false"/>
                <w:bCs w:val="false"/>
                <w:sz w:val="22"/>
                <w:szCs w:val="22"/>
              </w:rPr>
              <w:t xml:space="preserve">Corpus + data card</w:t>
            </w:r>
          </w:p>
        </w:tc>
        <w:tc>
          <w:p>
            <w:pPr>
              <w:jc w:val="left"/>
            </w:pPr>
            <w:r>
              <w:rPr>
                <w:rFonts w:ascii="Georgia" w:cs="Georgia" w:eastAsia="Georgia" w:hAnsi="Georgia"/>
                <w:b w:val="false"/>
                <w:bCs w:val="false"/>
                <w:sz w:val="22"/>
                <w:szCs w:val="22"/>
              </w:rPr>
              <w:t xml:space="preserve">6</w:t>
            </w:r>
          </w:p>
        </w:tc>
        <w:tc>
          <w:p>
            <w:pPr>
              <w:jc w:val="left"/>
            </w:pPr>
            <w:r>
              <w:rPr>
                <w:rFonts w:ascii="Georgia" w:cs="Georgia" w:eastAsia="Georgia" w:hAnsi="Georgia"/>
                <w:b w:val="false"/>
                <w:bCs w:val="false"/>
                <w:sz w:val="22"/>
                <w:szCs w:val="22"/>
              </w:rPr>
              <w:t xml:space="preserve">RI</w:t>
            </w:r>
          </w:p>
        </w:tc>
      </w:tr>
      <w:tr>
        <w:tc>
          <w:p>
            <w:pPr>
              <w:jc w:val="left"/>
            </w:pPr>
            <w:r>
              <w:rPr>
                <w:rFonts w:ascii="Georgia" w:cs="Georgia" w:eastAsia="Georgia" w:hAnsi="Georgia"/>
                <w:b w:val="false"/>
                <w:bCs w:val="false"/>
                <w:sz w:val="22"/>
                <w:szCs w:val="22"/>
              </w:rPr>
              <w:t xml:space="preserve">Extended classifier accuracy report</w:t>
            </w:r>
          </w:p>
        </w:tc>
        <w:tc>
          <w:p>
            <w:pPr>
              <w:jc w:val="left"/>
            </w:pPr>
            <w:r>
              <w:rPr>
                <w:rFonts w:ascii="Georgia" w:cs="Georgia" w:eastAsia="Georgia" w:hAnsi="Georgia"/>
                <w:b w:val="false"/>
                <w:bCs w:val="false"/>
                <w:sz w:val="22"/>
                <w:szCs w:val="22"/>
              </w:rPr>
              <w:t xml:space="preserve">9</w:t>
            </w:r>
          </w:p>
        </w:tc>
        <w:tc>
          <w:p>
            <w:pPr>
              <w:jc w:val="left"/>
            </w:pPr>
            <w:r>
              <w:rPr>
                <w:rFonts w:ascii="Georgia" w:cs="Georgia" w:eastAsia="Georgia" w:hAnsi="Georgia"/>
                <w:b w:val="false"/>
                <w:bCs w:val="false"/>
                <w:sz w:val="22"/>
                <w:szCs w:val="22"/>
              </w:rPr>
              <w:t xml:space="preserve">SBC</w:t>
            </w:r>
          </w:p>
        </w:tc>
      </w:tr>
      <w:tr>
        <w:tc>
          <w:p>
            <w:pPr>
              <w:jc w:val="left"/>
            </w:pPr>
            <w:r>
              <w:rPr>
                <w:rFonts w:ascii="Georgia" w:cs="Georgia" w:eastAsia="Georgia" w:hAnsi="Georgia"/>
                <w:b w:val="false"/>
                <w:bCs w:val="false"/>
                <w:sz w:val="22"/>
                <w:szCs w:val="22"/>
              </w:rPr>
              <w:t xml:space="preserve">Node runtime + benchmark log</w:t>
            </w:r>
          </w:p>
        </w:tc>
        <w:tc>
          <w:p>
            <w:pPr>
              <w:jc w:val="left"/>
            </w:pPr>
            <w:r>
              <w:rPr>
                <w:rFonts w:ascii="Georgia" w:cs="Georgia" w:eastAsia="Georgia" w:hAnsi="Georgia"/>
                <w:b w:val="false"/>
                <w:bCs w:val="false"/>
                <w:sz w:val="22"/>
                <w:szCs w:val="22"/>
              </w:rPr>
              <w:t xml:space="preserve">12</w:t>
            </w:r>
          </w:p>
        </w:tc>
        <w:tc>
          <w:p>
            <w:pPr>
              <w:jc w:val="left"/>
            </w:pPr>
            <w:r>
              <w:rPr>
                <w:rFonts w:ascii="Georgia" w:cs="Georgia" w:eastAsia="Georgia" w:hAnsi="Georgia"/>
                <w:b w:val="false"/>
                <w:bCs w:val="false"/>
                <w:sz w:val="22"/>
                <w:szCs w:val="22"/>
              </w:rPr>
              <w:t xml:space="preserve">SBC</w:t>
            </w:r>
          </w:p>
        </w:tc>
      </w:tr>
      <w:tr>
        <w:tc>
          <w:p>
            <w:pPr>
              <w:jc w:val="left"/>
            </w:pPr>
            <w:r>
              <w:rPr>
                <w:rFonts w:ascii="Georgia" w:cs="Georgia" w:eastAsia="Georgia" w:hAnsi="Georgia"/>
                <w:b w:val="false"/>
                <w:bCs w:val="false"/>
                <w:sz w:val="22"/>
                <w:szCs w:val="22"/>
              </w:rPr>
              <w:t xml:space="preserve">Fusion-gain simulation report</w:t>
            </w:r>
          </w:p>
        </w:tc>
        <w:tc>
          <w:p>
            <w:pPr>
              <w:jc w:val="left"/>
            </w:pPr>
            <w:r>
              <w:rPr>
                <w:rFonts w:ascii="Georgia" w:cs="Georgia" w:eastAsia="Georgia" w:hAnsi="Georgia"/>
                <w:b w:val="false"/>
                <w:bCs w:val="false"/>
                <w:sz w:val="22"/>
                <w:szCs w:val="22"/>
              </w:rPr>
              <w:t xml:space="preserve">15</w:t>
            </w:r>
          </w:p>
        </w:tc>
        <w:tc>
          <w:p>
            <w:pPr>
              <w:jc w:val="left"/>
            </w:pPr>
            <w:r>
              <w:rPr>
                <w:rFonts w:ascii="Georgia" w:cs="Georgia" w:eastAsia="Georgia" w:hAnsi="Georgia"/>
                <w:b w:val="false"/>
                <w:bCs w:val="false"/>
                <w:sz w:val="22"/>
                <w:szCs w:val="22"/>
              </w:rPr>
              <w:t xml:space="preserve">Joint</w:t>
            </w:r>
          </w:p>
        </w:tc>
      </w:tr>
      <w:tr>
        <w:tc>
          <w:p>
            <w:pPr>
              <w:jc w:val="left"/>
            </w:pPr>
            <w:r>
              <w:rPr>
                <w:rFonts w:ascii="Georgia" w:cs="Georgia" w:eastAsia="Georgia" w:hAnsi="Georgia"/>
                <w:b w:val="false"/>
                <w:bCs w:val="false"/>
                <w:sz w:val="22"/>
                <w:szCs w:val="22"/>
              </w:rPr>
              <w:t xml:space="preserve">Phase I final report + Phase II plan</w:t>
            </w:r>
          </w:p>
        </w:tc>
        <w:tc>
          <w:p>
            <w:pPr>
              <w:jc w:val="left"/>
            </w:pPr>
            <w:r>
              <w:rPr>
                <w:rFonts w:ascii="Georgia" w:cs="Georgia" w:eastAsia="Georgia" w:hAnsi="Georgia"/>
                <w:b w:val="false"/>
                <w:bCs w:val="false"/>
                <w:sz w:val="22"/>
                <w:szCs w:val="22"/>
              </w:rPr>
              <w:t xml:space="preserve">18</w:t>
            </w:r>
          </w:p>
        </w:tc>
        <w:tc>
          <w:p>
            <w:pPr>
              <w:jc w:val="left"/>
            </w:pPr>
            <w:r>
              <w:rPr>
                <w:rFonts w:ascii="Georgia" w:cs="Georgia" w:eastAsia="Georgia" w:hAnsi="Georgia"/>
                <w:b w:val="false"/>
                <w:bCs w:val="false"/>
                <w:sz w:val="22"/>
                <w:szCs w:val="22"/>
              </w:rPr>
              <w:t xml:space="preserve">Joint</w:t>
            </w:r>
          </w:p>
        </w:tc>
      </w:tr>
      <w:tr>
        <w:tc>
          <w:p>
            <w:pPr>
              <w:jc w:val="left"/>
            </w:pPr>
            <w:r>
              <w:rPr>
                <w:rFonts w:ascii="Georgia" w:cs="Georgia" w:eastAsia="Georgia" w:hAnsi="Georgia"/>
                <w:b w:val="false"/>
                <w:bCs w:val="false"/>
                <w:sz w:val="22"/>
                <w:szCs w:val="22"/>
              </w:rPr>
              <w:t xml:space="preserve">Option: range pre-demo results</w:t>
            </w:r>
          </w:p>
        </w:tc>
        <w:tc>
          <w:p>
            <w:pPr>
              <w:jc w:val="left"/>
            </w:pPr>
            <w:r>
              <w:rPr>
                <w:rFonts w:ascii="Georgia" w:cs="Georgia" w:eastAsia="Georgia" w:hAnsi="Georgia"/>
                <w:b w:val="false"/>
                <w:bCs w:val="false"/>
                <w:sz w:val="22"/>
                <w:szCs w:val="22"/>
              </w:rPr>
              <w:t xml:space="preserve">24</w:t>
            </w:r>
          </w:p>
        </w:tc>
        <w:tc>
          <w:p>
            <w:pPr>
              <w:jc w:val="left"/>
            </w:pPr>
            <w:r>
              <w:rPr>
                <w:rFonts w:ascii="Georgia" w:cs="Georgia" w:eastAsia="Georgia" w:hAnsi="Georgia"/>
                <w:b w:val="false"/>
                <w:bCs w:val="false"/>
                <w:sz w:val="22"/>
                <w:szCs w:val="22"/>
              </w:rPr>
              <w:t xml:space="preserve">Joint</w:t>
            </w:r>
          </w:p>
        </w:tc>
      </w:tr>
    </w:tbl>
    <w:p>
      <w:pPr>
        <w:jc w:val="center"/>
      </w:pPr>
      <w:r>
        <w:rPr>
          <w:rFonts w:ascii="Georgia" w:cs="Georgia" w:eastAsia="Georgia" w:hAnsi="Georgia"/>
          <w:b/>
          <w:bCs/>
          <w:i/>
          <w:iCs/>
          <w:sz w:val="22"/>
          <w:szCs w:val="22"/>
        </w:rPr>
        <w:t xml:space="preserve">Table 3: </w:t>
      </w:r>
      <w:r>
        <w:rPr>
          <w:rFonts w:ascii="Georgia" w:cs="Georgia" w:eastAsia="Georgia" w:hAnsi="Georgia"/>
          <w:i/>
          <w:iCs/>
          <w:sz w:val="22"/>
          <w:szCs w:val="22"/>
        </w:rPr>
        <w:t xml:space="preserve">Milestone schedule across base and option periods.</w:t>
      </w:r>
    </w:p>
    <w:p>
      <w:pPr>
        <w:spacing w:after="0" w:before="0"/>
        <w:jc w:val="left"/>
      </w:pPr>
      <w:r>
        <w:rPr>
          <w:rFonts w:ascii="Georgia" w:cs="Georgia" w:eastAsia="Georgia" w:hAnsi="Georgia"/>
          <w:sz w:val="22"/>
          <w:szCs w:val="22"/>
        </w:rPr>
        <w:t xml:space="preserve">Reporting: monthly technical status memos and financial reporting, a mid-base review at Month 9, and a Phase I final review at Month 18. All deliverables are furnished with clearly marked data rights consistent with the Allocation of Rights Agreement.</w:t>
      </w:r>
    </w:p>
    <w:p>
      <w:pPr>
        <w:pStyle w:val="Heading2"/>
      </w:pPr>
      <w:r>
        <w:rPr>
          <w:rFonts w:ascii="Georgia" w:cs="Georgia" w:eastAsia="Georgia" w:hAnsi="Georgia"/>
          <w:b/>
          <w:bCs/>
          <w:sz w:val="22"/>
          <w:szCs w:val="22"/>
        </w:rPr>
        <w:t xml:space="preserve">Data Management and Rights</w:t>
      </w:r>
    </w:p>
    <w:p>
      <w:pPr>
        <w:spacing w:after="0" w:before="0"/>
        <w:jc w:val="left"/>
      </w:pPr>
      <w:r>
        <w:rPr>
          <w:rFonts w:ascii="Georgia" w:cs="Georgia" w:eastAsia="Georgia" w:hAnsi="Georgia"/>
          <w:sz w:val="22"/>
          <w:szCs w:val="22"/>
        </w:rPr>
        <w:t xml:space="preserve">All Phase I data derives from Distribution-A corpora plus synthetic augmentation and the RI’s range collections gathered under its existing environmental authorizations — no classified or controlled data. The corpus, channel models, and trained artifacts are versioned and retained for the period of performance plus three years, with a shared data card documenting provenance, class balance, and known limitations. Foreground results are delivered to the Government with rights clearly marked; background IP (the SBC’s saliency-guided quantization and the RI’s propagation models) is retained by its owner under the Allocation of Rights Agreement, which grants the SBC an exclusive commercialization option and the RI retained rights for internal research and publication subject to a pre-publication review period. This keeps the Phase III transition path unencumbered while protecting the RI’s academic mission.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Navy STTR Phase I · Topic N25B-T042 · Proprietary · Page  of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sz w:val="18"/>
        <w:szCs w:val="18"/>
      </w:rPr>
      <w:t xml:space="preserve">Aerivio Systems — Statement of 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lvl w:ilvl="1" w15:tentative="1">
      <w:start w:val="1"/>
      <w:numFmt w:val="decimal"/>
      <w:lvlText w:val="%2."/>
      <w:lvlJc w:val="start"/>
      <w:pPr>
        <w:ind w:left="1440" w:hanging="360"/>
      </w:pPr>
    </w:lvl>
    <w:lvl w:ilvl="2" w15:tentative="1">
      <w:start w:val="1"/>
      <w:numFmt w:val="decimal"/>
      <w:lvlText w:val="%3."/>
      <w:lvlJc w:val="start"/>
      <w:pPr>
        <w:ind w:left="2160" w:hanging="360"/>
      </w:pPr>
    </w:lvl>
    <w:lvl w:ilvl="3" w15:tentative="1">
      <w:start w:val="1"/>
      <w:numFmt w:val="decimal"/>
      <w:lvlText w:val="%4."/>
      <w:lvlJc w:val="start"/>
      <w:pPr>
        <w:ind w:left="2880" w:hanging="360"/>
      </w:pPr>
    </w:lvl>
    <w:lvl w:ilvl="4" w15:tentative="1">
      <w:start w:val="1"/>
      <w:numFmt w:val="decimal"/>
      <w:lvlText w:val="%5."/>
      <w:lvlJc w:val="start"/>
      <w:pPr>
        <w:ind w:left="3600" w:hanging="360"/>
      </w:pPr>
    </w:lvl>
    <w:lvl w:ilvl="5" w15:tentative="1">
      <w:start w:val="1"/>
      <w:numFmt w:val="decimal"/>
      <w:lvlText w:val="%6."/>
      <w:lvlJc w:val="start"/>
      <w:pPr>
        <w:ind w:left="4320" w:hanging="360"/>
      </w:pPr>
    </w:lvl>
    <w:lvl w:ilvl="6" w15:tentative="1">
      <w:start w:val="1"/>
      <w:numFmt w:val="decimal"/>
      <w:lvlText w:val="%7."/>
      <w:lvlJc w:val="start"/>
      <w:pPr>
        <w:ind w:left="5040" w:hanging="360"/>
      </w:pPr>
    </w:lvl>
    <w:lvl w:ilvl="7" w15:tentative="1">
      <w:start w:val="1"/>
      <w:numFmt w:val="decimal"/>
      <w:lvlText w:val="%8."/>
      <w:lvlJc w:val="start"/>
      <w:pPr>
        <w:ind w:left="5760" w:hanging="360"/>
      </w:pPr>
    </w:lvl>
    <w:lvl w:ilvl="8" w15:tentative="1">
      <w:start w:val="1"/>
      <w:numFmt w:val="decimal"/>
      <w:lvlText w:val="%9."/>
      <w:lvlJc w:val="star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pPr>
        <w:spacing w:line="33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2026-07-17T01:02:17.180Z</dcterms:created>
  <dcterms:modified xsi:type="dcterms:W3CDTF">2026-07-17T01:02:17.180Z</dcterms:modified>
</cp:coreProperties>
</file>

<file path=docProps/custom.xml><?xml version="1.0" encoding="utf-8"?>
<Properties xmlns="http://schemas.openxmlformats.org/officeDocument/2006/custom-properties" xmlns:vt="http://schemas.openxmlformats.org/officeDocument/2006/docPropsVTypes"/>
</file>