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keepLines/>
        <w:spacing w:after="140" w:before="140"/>
        <w:jc w:val="center"/>
      </w:pPr>
      <w:r>
        <w:drawing>
          <wp:inline distT="0" distB="0" distL="0" distR="0">
            <wp:extent cx="44577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Abstract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(Public, non-confidential — excluded from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7-page limit.)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an Ohio pre-seed venture that 3D-prints the formwork for residential concrete foundations. By printing the foundation wall shape directly — with common, locally sourced concrete rather than proprietary mortar — Foundation eliminates the traditional build-strip-repair-clean formwork cycle, cutting foundation formwork labor from ~336 hours to ~25 and total formwork cost by roughly 47% on a typical 2,100 sq ft Ohio home. TVSF funds a beta prototype and third-party performance validation, de-risking a $23.7B U.S. formwork market and advancing Ohio's housing-affordability and advanced-manufacturing agenda.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  Market Opportunity (TAM)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2026 U.S. housing market represents a $410B TAM against a structural ~500,000-home supply/demand gap; "locked-in" 6% mortgages push builders toward new-build "buy-down" economics where every point of cost removed matters.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targets the formwork line item of single-family new builds — a $23.7B SAM — with an initial serviceable-obtainable $27.4M SOM in its regional beachhead.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Because foundation 3D printing lowers total home cost ~4% while removing the industry's most labor-intensive, waste-prone step, it converts a cost center into a competitive advantage for builders operating on thin margins.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Market layer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Size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Definition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$410B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2026 U.S. housing market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$23.7B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Formwork in single-family new builds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SOM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$27.4M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Near-term regional beachhead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#2  Overview of the Technology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system prints a foundation's wall geometry directly: a build plan is downloaded to the printer, concrete is pumped into the machine, and the nozzle lays concrete one layer at a time. A printing trolley moves laterally and vertically while the whole machine travels along runway rails; the system is electrically powered.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Two differentiators define it: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It uses common, locally sourced concrete — not an expensive proprietary mortar.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An external gate controls material flow at the nozzle, enabling clean starts/stops and consistent layers.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net effect eliminates the build-strip-repair-clean cycle, saving ~311 labor hours per home and cutting formwork production cost ~47–50% and material cost ~60–65% versus mortar-based concrete printers.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#3  Development Stage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technology is at TRL 6–7: core subsystems (concrete delivery, nozzle gate, gantry motion) are demonstrated and the team is building a beta prototype for a relevant application environment. MVP customer requirements are explicit — rapid deployment, reduced labor, structural reliability, and use of locally sourced materials.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TVSF's role is to fund the beta prototype build and an independent third-party performance validation, moving the system from demonstrated subsystems (TRL 6–7) toward a field-validated first printer (TRL 7–8).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#4  Commercialization Strategy (SAM)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Entry is proof-based: local, fragmented buyers whose barriers are trust, portability, and cost, and whose workflow already relies on subcontractors.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sells into that workflow as "printing as a service" to general contractors and developers, priced per cubic yard of concrete, and partners with local schools and builders for demos and workforce pipeline.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motion is demos/tours → paid pilot → repeat jobs, using non-dilutive TVSF + SBIR Phase I to reach a validated pilot before scaling into the $23.7B formwork SAM.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#5  Intellectual Property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's approach is anchored by two issued U.S. patents: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11,273,574 — "Scalable Three-Dimensional Printing Apparatus" (the scalable gantry/print architecture).</w:t>
      </w:r>
    </w:p>
    <w:p>
      <w:pPr>
        <w:pStyle w:val="ListParagraph"/>
        <w:numPr>
          <w:ilvl w:val="0"/>
          <w:numId w:val="1"/>
        </w:numPr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U.S. Patent 10,307,959 B2 — "Concrete Delivery System" (the concrete-delivery and nozzle-control mechanism).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Together they protect the two core differentiators — the rail-scalable printer and the externally gated, local-concrete delivery path. Freedom-to-operate and a continuation strategy around the nozzle-gate control are part of the funded work.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#6  Business Model &amp; Pro-forma P&amp;L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forms a joint venture per project, programs and prepares the print, and charges per cubic yard of concrete placed, at ≈$20,000 total price per job with a contribution margin of ≈37.5%. Printing-as-a-service keeps capital with Foundation and lowers the builder's barrier to adoption.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/>
        </w:trPr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Pro-forma (per job, illustrative)</w:t>
            </w:r>
          </w:p>
        </w:tc>
        <w:tc>
          <w:tcPr>
            <w:tcW w:type="pct" w:w="5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Value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Price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margin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≈37.5%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Contribution per job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$7,500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a $27.4M near-term SOM, a modest fleet of printers running repeat jobs reaches sustainable unit economics quickly; gross margin expands as printer utilization rises.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#7  Current Financial Stage &amp; Fundraising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pre-seed. The capital plan pairs $200k TVSF and $150k SBIR Phase I (non-dilutive, directed at R&amp;D and the beta prototype) with a targeted $1.8M+ equity round.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Equity investment is critical to scaling beyond the first printer; the non-dilutive grants exist to prove the market and de-risk the technology first, so the equity raise is priced on validated performance rather than on a concept. TVSF is the near-term unlock for the validated beta prototype that makes the round investable.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#8  Team / Management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Role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Owns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Kate Ulepic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Executive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Strategy &amp; fundraising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Conor Atkins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Operations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Operations &amp; print execution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Connor Casey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Financial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Finance &amp; capital plan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Will Curley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Chief Technology Officer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Printer &amp; delivery technology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team has identified and is actively recruiting for its known gaps — legal advisor, fundraiser, technician, and homebuilder partner — and is mentored through the Entrepreneurs' Center (Paul Jackson, VP Strategic Programs).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#9  Competitive Landscape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Against Traditional Formwork, Vitruvian, and COBOD International,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wins on the dimensions that decide adoption: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Dimension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Foundation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Traditional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Vitruvian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COBOD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Time (days)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Deployment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Material accessibility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Project costs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Scalability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Repeatable workflow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✗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✓</w:t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the only option that combines local-material accessibility and lowest project cost with rapid, scalable, repeatable deployment — traditional formwork is slow and labor-heavy, while other printers depend on costly proprietary mortar.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#10  Economic Impact (Ohio)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Foundation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is Ohio-based and Ohio-building. It lowers the cost of new single-family homes in a state facing a supply gap, supports builder margins, and creates skilled advanced-manufacturing and print-operator jobs.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By partnering with local schools and builders for demos and training, it seeds a regional workforce pipeline and keeps concrete spend with local suppliers rather than proprietary-mortar vendors — compounding the in-state economic return of each job.</w:t>
      </w:r>
    </w:p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#11  Project Plan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Milestones (name · description · success criteria · timeframe · approximate funds):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cantSplit/>
        </w:trPr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Milestone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Success criteria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Timeframe</w:t>
            </w:r>
          </w:p>
        </w:tc>
        <w:tc>
          <w:tcPr>
            <w:tcW w:type="pct" w:w="20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Funds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Hire core team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Technician/operator roles filled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1–2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2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R&amp;D with Converge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Validated printer + delivery/gate specs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3–4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$190,000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Beta prototype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Prints a test wall to spec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6–8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(in R&amp;D)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Third-party validation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Passing structural + throughput report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9–14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First printer build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Pilot-ready production unit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Months 11–14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$300,000</w:t>
            </w:r>
          </w:p>
        </w:tc>
      </w:tr>
    </w:tbl>
    <w:p>
      <w:pPr>
        <w:pBdr>
          <w:bottom w:val="single" w:color="94A3B8" w:sz="4"/>
        </w:pBdr>
        <w:spacing w:after="80" w:before="80"/>
      </w:pPr>
    </w:p>
    <w:p>
      <w:pPr>
        <w:pStyle w:val="Heading1"/>
        <w:keepNext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#12  Budget by Spend Type</w:t>
      </w:r>
    </w:p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TVSF request: $200,000 of OTF Project Funds.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Spend type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OTF Project Funds</w:t>
            </w:r>
          </w:p>
        </w:tc>
        <w:tc>
          <w:tcPr>
            <w:tcW w:type="pct" w:w="33.333333333333336%"/>
            <w:shd w:color="D9E1F2" w:val="solid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Notes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Personnel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$40,000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Founding-team time + first technical hire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Equipment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$120,000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COTS + specialized printer/delivery parts (beta prototype)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Supplies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$10,000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Concrete + consumables for prototype tests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Purchased Services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$30,000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Converge development services + software partner</w:t>
            </w:r>
          </w:p>
        </w:tc>
      </w:tr>
      <w:tr>
        <w:trPr>
          <w:cantSplit/>
        </w:trP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TOTAL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$200,000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0"/>
        <w:jc w:val="lef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Narrative: the bulk of the grant funds Equipment (COTS + specialized parts to build the beta prototype with Converge) and Purchased Services (Converge engineering + software partner); Supplies cover concrete for prototype testing; Personnel covers founding-team time and the first technical hire.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Foundation — TVSF Application (confidential)       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sz w:val="16"/>
        <w:szCs w:val="16"/>
      </w:rPr>
      <w:t xml:space="preserve"> of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Times New Roman" w:cs="Times New Roman" w:eastAsia="Times New Roman" w:hAnsi="Times New Roman"/>
        <w:sz w:val="18"/>
        <w:szCs w:val="18"/>
      </w:rPr>
      <w:t xml:space="preserve">Foundation   ·   Ohio Third Frontier TVSF (Round 45)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  <w:lvl w:ilvl="5" w15:tentative="1">
      <w:start w:val="1"/>
      <w:numFmt w:val="decimal"/>
      <w:lvlText w:val="%6."/>
      <w:lvlJc w:val="start"/>
      <w:pPr>
        <w:ind w:left="4320" w:hanging="360"/>
      </w:pPr>
    </w:lvl>
    <w:lvl w:ilvl="6" w15:tentative="1">
      <w:start w:val="1"/>
      <w:numFmt w:val="decimal"/>
      <w:lvlText w:val="%7."/>
      <w:lvlJc w:val="start"/>
      <w:pPr>
        <w:ind w:left="5040" w:hanging="360"/>
      </w:pPr>
    </w:lvl>
    <w:lvl w:ilvl="7" w15:tentative="1">
      <w:start w:val="1"/>
      <w:numFmt w:val="decimal"/>
      <w:lvlText w:val="%8."/>
      <w:lvlJc w:val="start"/>
      <w:pPr>
        <w:ind w:left="5760" w:hanging="360"/>
      </w:pPr>
    </w:lvl>
    <w:lvl w:ilvl="8" w15:tentative="1">
      <w:start w:val="1"/>
      <w:numFmt w:val="decimal"/>
      <w:lvlText w:val="%9."/>
      <w:lvlJc w:val="star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22528255444225561c1e1f13e4e6210cc92d7b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2026-08-22T02:36:48.587Z</dcterms:created>
  <dcterms:modified xsi:type="dcterms:W3CDTF">2026-08-22T02:36:48.587Z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