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Company Commercialization Report (CCR)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Company Commercialization Report presents Immobileyes' commercialization strategy for GHOST (STORM + DEXTER)—a dual-use optical counter-UAS capability—covering the market opportunity, target segments, competitive differentiation, business model, go-to-market, partnerships, and financial plan.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 Company &amp; Commercialization Strategy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Immobileyes is a liquid-crystal electro-optics company led by Dr. Bahman Taheri (PI; 90+ patents; PLCTO), with deep heritage in LC electro-optics and laser systems across AF, Navy, ONR, Army, DOE, and NSF programs, and a manufacturing partnership with AlphaMicron. Our commercialization strategy is anchored-and-adjacent: use the SBIR/DoD path to prove and harden the GHOST optical effector against the hardest threat (EO-guided FPV drones), then extend the same detect-track-defeat core into the large, faster-moving commercial counter-drone market where certification—not physics—is the primary barrier.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 Market Opportunity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counter-UAS market is large and growing rapidly, pulled by battlefield demand and by a parallel surge in commercial and homeland drone incursions. Industry analysts place the global counter-drone market in the low single-digit billions (USD) today, growing at a ~20–27% CAGR to roughly $9–15B by the early 2030s (analyst estimates vary; figures below are planning estimates, not commitments).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Market</w:t>
            </w:r>
          </w:p>
        </w:tc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Est. 2024</w:t>
            </w:r>
          </w:p>
        </w:tc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Est. 2030+</w:t>
            </w:r>
          </w:p>
        </w:tc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Immobileyes SOM thesis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Defense C-UAS (global)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~$1.5–2.5B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~$8–12B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DoD anchor via NAVAIR/NAVSEA + JCO insertion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Commercial / homeland C-UAS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~$0.6–1.2B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~$3–5B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Airports, CI, events, corrections, border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Serviceable (EO/optical defeat niche)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~$0.5–1.5B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Non-kinetic optical defeat where RF/kinetic can't play</w:t>
            </w:r>
          </w:p>
        </w:tc>
      </w:tr>
    </w:tbl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Immobileyes does not need to win the whole market. Our beachhead is the segment no one else serves well: non-kinetic, low-collateral OPTICAL defeat of EO-guided and RF-silent drones in environments (CONUS bases, airports, stadiums, prisons) where jammers and kinetic effects are legally or operationally constrained.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 Target Segments (Commercial)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Airports &amp; civil aviation: repeated incursions cause costly ground-stops; FAA test-site access via Lighthouse Avionics positions GHOST for the certification path.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Critical infrastructure: energy sites, data centers, refineries, and ports need persistent, low-collateral protection against surveillance and payload drones.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Stadiums &amp; mass events: temporary, high-density protection where kinetic/RF options are legally constrained around crowds.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Corrections: contraband-delivery drones are a top-growth problem for correctional facilities—an optical, non-kinetic deny effect is ideal.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Border &amp; homeland security: layered EO detect-track-defeat complements existing RF/radar sensors.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 Competitive Landscape &amp; Differentiation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incumbent counter-drone field is dominated by RF-detection/jamming (DroneShield, Dedrone [Axon]), radar (Robin Radar, Fortem), cyber-takeover (D-Fend), high-power microwave (Epirus), and vertically-integrated kinetic/autonomy (Anduril). Nearly all share a blind spot: they degrade against RF-silent, GPS-independent, EO-guided fiber drones, and most cannot be employed where emissions or kinetic effects are constrained.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Approach</w:t>
            </w:r>
          </w:p>
        </w:tc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Representative players</w:t>
            </w:r>
          </w:p>
        </w:tc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Limitation vs. EO-guided FPV</w:t>
            </w:r>
          </w:p>
        </w:tc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GHOST advantage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RF detect/jam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DroneShield, Dedrone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 RF to exploit; illegal in many civil settings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Optical, emission-light, civil-employable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Radar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Robin Radar, Fortem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Small/low/slow + swarm saturation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AI EO/IR + multi-beam swarm engagement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Cyber takeover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D-Fend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 link to hijack on fiber drones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Attacks the seeker, not the datalink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HPM / kinetic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Epirus, Anduril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Cost, collateral, magazine depth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Reusable optical energy; favorable cost-exchange</w:t>
            </w:r>
          </w:p>
        </w:tc>
      </w:tr>
    </w:tbl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Immobileyes' differentiation is defensible and IP-protected: the effort extends the Navy's patented seeker-confusion principle (U.S. Patents 8,305,252 and 8,212,709) and AlphaMicron's liquid-crystal beam-steering (DEXTER)—a low-SWaP, no-moving-parts, microsecond multi-beam router that no competitor fields.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 Business Model &amp; Revenue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GHOST is sold as a hardware effector plus recurring software: (1) effector unit sales / integration, (2) a detection-and-defeat software subscription (threat-library updates, escalation policy, analytics), and (3) sustainment and training. The recurring software layer drives gross-margin expansion and customer stickiness, and is common across DoD and commercial deployments—so every DoD-hardened capability improvement compounds commercial value.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 Go-to-Market &amp; Partnerships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DoD anchor: NAVAIR/NAVSEA SBIR → operational assessment → JCO-recognized PoR insertion (reference customer + non-dilutive capital).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AlphaMicron: liquid-crystal manufacturing at scale (DEXTER), the path to producible, low-cost effectors.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Lighthouse Avionics: sensor fusion and FAA test-site access—the bridge to civil certification and airport/CI pilots.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Channel: after DoD proof and a lighthouse commercial pilot (airport or CI), expand through security integrators serving CI, events, and corrections.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 Funding, Financials &amp; Prior SBIR Record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Immobileyes' commercialization is funded through a non-dilutive-first plan: SBIR Phase I/II, Phase II matching and TACFI/STRATFI-style follow-on, and paid commercial pilots—preserving equity while the DoD path de-risks the technology. The team's prior federal R&amp;D (AF/Navy/ONR/Army/DOE/NSF LC electro-optics and laser programs) and AlphaMicron's track record of transitioning liquid-crystal optics to production demonstrate the ability to move technology from SBIR to fielded product.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Horizon</w:t>
            </w:r>
          </w:p>
        </w:tc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Milestone</w:t>
            </w:r>
          </w:p>
        </w:tc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Funding</w:t>
            </w:r>
          </w:p>
        </w:tc>
        <w:tc>
          <w:tcPr>
            <w:tcW w:type="pct" w:w="25%"/>
            <w:shd w:color="D9E1F2" w:val="solid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Commercial metric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0–12 mo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Phase I feasibility + effect characterization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SBIR Phase I (non-dilutive)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Reference effect vs. EO-guided FPV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12–30 mo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Phase II TRL-6 prototype + operational assessment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SBIR Phase II + matching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Navy assessment; 1 commercial LOI</w:t>
            </w:r>
          </w:p>
        </w:tc>
      </w:tr>
      <w:tr>
        <w:trPr>
          <w:cantSplit/>
        </w:trPr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30–48 mo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PoR insertion + first commercial pilots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Phase III / FCT / paid pilots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First recurring-revenue deployments</w:t>
            </w:r>
          </w:p>
        </w:tc>
      </w:tr>
    </w:tbl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Metrics we will report: seeker-confusion effectiveness (probability of terminal-lock break), cost-per-engagement vs. kinetic baselines, effector unit cost at volume (AlphaMicron), and commercial pilots converted to recurring subscriptions.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Use or disclosure of proposal data is subject to the restriction on the title page.       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6"/>
        <w:szCs w:val="16"/>
      </w:rPr>
      <w:t xml:space="preserve"> of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Times New Roman" w:cs="Times New Roman" w:eastAsia="Times New Roman" w:hAnsi="Times New Roman"/>
        <w:sz w:val="18"/>
        <w:szCs w:val="18"/>
      </w:rPr>
      <w:t xml:space="preserve">Immobileyes   ·   Topic DON26BX03-NP002   ·   Volume 4: Company Commercialization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  <w:lvl w:ilvl="4" w15:tentative="1">
      <w:start w:val="1"/>
      <w:numFmt w:val="decimal"/>
      <w:lvlText w:val="%5."/>
      <w:lvlJc w:val="start"/>
      <w:pPr>
        <w:ind w:left="3600" w:hanging="360"/>
      </w:pPr>
    </w:lvl>
    <w:lvl w:ilvl="5" w15:tentative="1">
      <w:start w:val="1"/>
      <w:numFmt w:val="decimal"/>
      <w:lvlText w:val="%6."/>
      <w:lvlJc w:val="start"/>
      <w:pPr>
        <w:ind w:left="4320" w:hanging="360"/>
      </w:pPr>
    </w:lvl>
    <w:lvl w:ilvl="6" w15:tentative="1">
      <w:start w:val="1"/>
      <w:numFmt w:val="decimal"/>
      <w:lvlText w:val="%7."/>
      <w:lvlJc w:val="start"/>
      <w:pPr>
        <w:ind w:left="5040" w:hanging="360"/>
      </w:pPr>
    </w:lvl>
    <w:lvl w:ilvl="7" w15:tentative="1">
      <w:start w:val="1"/>
      <w:numFmt w:val="decimal"/>
      <w:lvlText w:val="%8."/>
      <w:lvlJc w:val="start"/>
      <w:pPr>
        <w:ind w:left="5760" w:hanging="360"/>
      </w:pPr>
    </w:lvl>
    <w:lvl w:ilvl="8" w15:tentative="1">
      <w:start w:val="1"/>
      <w:numFmt w:val="decimal"/>
      <w:lvlText w:val="%9."/>
      <w:lvlJc w:val="star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2026-07-21T03:01:05.850Z</dcterms:created>
  <dcterms:modified xsi:type="dcterms:W3CDTF">2026-07-21T03:01:05.850Z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