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(Public, non-confidential — excluded from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7-page limit.)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 is an Ohio pre-seed venture that 3D-prints the formwork for residential concrete foundations. By printing the foundation wall shape directly — with common, locally sourced concrete rather than proprietary mortar — Foundation eliminates the traditional build-strip-repair-clean formwork cycle, cutting foundation formwork labor from ~336 hours to ~25 and total formwork cost by roughly 47% on a typical 2,100 sq ft Ohio home. TVSF funds a beta prototype and third-party performance validation, de-risking a $23.7B U.S. formwork market and advancing Ohio's housing-affordability and advanced-manufacturing agenda.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  Market Opportunity (TAM)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2026 U.S. housing market represents a $410B TAM against a structural ~500,000-home supply/demand gap; "locked-in" 6% mortgages push builders toward new-build "buy-down" economics where every point of cost removed matters. Foundation targets the formwork line item of single-family new builds — a $23.7B SAM — with an initial serviceable-obtainable $27.4M SOM in its regional beachhead.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Because foundation 3D printing lowers total home cost ~4% while removing the industry's most labor-intensive, waste-prone step, it converts a cost center into a competitive advantage for builders operating on thin margins.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Market layer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$410B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U.S. housing market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$23.7B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Formwork in single-family new builds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$27.4M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Near-term regional beachhead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#2  Overview of the Technology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Foundation's system prints a foundation's wall geometry directly: a build plan is downloaded to the printer, concrete is pumped into the machine, and the nozzle lays concrete one layer at a time. A printing trolley moves laterally and vertically while the whole machine travels along runway rails; the system is electrically powered.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differentiators define it: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uses common, locally sourced concrete — not an expensive proprietary mortar.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external gate controls material flow at the nozzle, enabling clean starts/stops and consistent layers.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net effect eliminates the build-strip-repair-clean cycle, saving ~311 labor hours per home and cutting formwork production cost ~47–50% and material cost ~60–65% versus mortar-based concrete printers.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#3  Development Stage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technology is at TRL 6–7: core subsystems (concrete delivery, nozzle gate, gantry motion) are demonstrated and the team is building a beta prototype for a relevant application environment. MVP customer requirements are explicit — rapid deployment, reduced labor, structural reliability, and use of locally sourced materials.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TVSF's role is to fund the beta prototype build and an independent third-party performance validation, moving the system from demonstrated subsystems (TRL 6–7) toward a field-validated first printer (TRL 7–8).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#4  Commercialization Strategy (SAM)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Entry is proof-based: local, fragmented buyers whose barriers are trust, portability, and cost, and whose workflow already relies on subcontractors. Foundation sells into that workflow as "printing as a service" to general contractors and developers, priced per cubic yard of concrete, and partners with local schools and builders for demos and workforce pipeline.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motion is demos/tours → paid pilot → repeat jobs, using non-dilutive TVSF + SBIR Phase I to reach a validated pilot before scaling into the $23.7B formwork SAM.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#5  Intellectual Property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Foundation's approach is anchored by two issued U.S. patents: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11,273,574 — "Scalable Three-Dimensional Printing Apparatus" (the scalable gantry/print architecture).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Patent 10,307,959 B2 — "Concrete Delivery System" (the concrete-delivery and nozzle-control mechanism).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 they protect the two core differentiators — the rail-scalable printer and the externally gated, local-concrete delivery path. Freedom-to-operate and a continuation strategy around the nozzle-gate control are part of the funded work.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#6  Business Model &amp; Pro-forma P&amp;L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 forms a joint venture per project, programs and prepares the print, and charges per cubic yard of concrete placed, at ≈$20,000 total price per job with a contribution margin of ≈37.5%. Printing-as-a-service keeps capital with Foundation and lowers the builder's barrier to adoption.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Pro-forma (per job, illustrative)</w:t>
            </w:r>
          </w:p>
        </w:tc>
        <w:tc>
          <w:tcPr>
            <w:tcW w:type="pct" w:w="5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$20,000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margin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≈37.5%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Contribution per job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$7,500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a $27.4M near-term SOM, a modest fleet of printers running repeat jobs reaches sustainable unit economics quickly; gross margin expands as printer utilization rises.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#7  Current Financial Stage &amp; Fundraising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 is pre-seed. The capital plan pairs $200k TVSF and $150k SBIR Phase I (non-dilutive, directed at R&amp;D and the beta prototype) with a targeted $1.8M+ equity round.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Equity investment is critical to scaling beyond the first printer; the non-dilutive grants exist to prove the market and de-risk the technology first, so the equity raise is priced on validated performance rather than on a concept. TVSF is the near-term unlock for the validated beta prototype that makes the round investable.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#8  Team /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pct" w:w="33.333333333333336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Owns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Kate Ulepic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Executive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Strategy &amp; fundraising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Conor Atkins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Operations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Operations &amp; print execution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Connor Casey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Financial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Finance &amp; capital plan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Will Curley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Chief Technology Officer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Printer &amp; delivery technology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team has identified and is actively recruiting for its known gaps — legal advisor, fundraiser, technician, and homebuilder partner — and is mentored through the Entrepreneurs' Center (Paul Jackson, VP Strategic Programs).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#9  Competitive Landscape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Against Traditional Formwork, Vitruvian, and COBOD International, Foundation wins on the dimensions that decide adoption: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Foundation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Traditional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Vitruvian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COBOD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 (days)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Material accessibility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costs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Repeatable workflow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 is the only option that combines local-material accessibility and lowest project cost with rapid, scalable, repeatable deployment — traditional formwork is slow and labor-heavy, while other printers depend on costly proprietary mortar.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#10  Economic Impact (Ohio)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Foundation is Ohio-based and Ohio-building. It lowers the cost of new single-family homes in a state facing a supply gap, supports builder margins, and creates skilled advanced-manufacturing and print-operator jobs.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partnering with local schools and builders for demos and training, it seeds a regional workforce pipeline and keeps concrete spend with local suppliers rather than proprietary-mortar vendors — compounding the in-state economic return of each job.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#11  Project Plan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Milestones (name · description · success criteria · timeframe · approximate funds):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pct" w:w="20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Hire core team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Technician/operator roles filled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1–2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R&amp;D with Converge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Validated printer + delivery/gate specs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3–4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$190,000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Beta prototype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Prints a test wall to spec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6–8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(in R&amp;D)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Third-party validation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Passing structural + throughput report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9–14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$30,000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 printer build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Pilot-ready production unit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Months 11–14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$300,000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Foundation — TVSF Application (confidential)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18"/>
        <w:szCs w:val="18"/>
      </w:rPr>
      <w:t xml:space="preserve">Foundation   ·   Ohio Third Frontier TVSF (Round 45)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2026-07-31T23:32:23.332Z</dcterms:created>
  <dcterms:modified xsi:type="dcterms:W3CDTF">2026-07-31T23:32:23.332Z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